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A0731B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«</w:t>
      </w:r>
      <w:r w:rsidR="000233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233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октября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4829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0233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122</w:t>
      </w:r>
      <w:r w:rsidR="00F2222D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0233F0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</w:t>
            </w:r>
            <w:r w:rsidR="00A0731B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утверждении муниципальной</w:t>
            </w: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829D0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программы Комплексное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A07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 93, от 30.07.2021г. № 54</w:t>
            </w:r>
            <w:r w:rsidR="004829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30.12.2021г. №102</w:t>
            </w:r>
            <w:r w:rsidR="000233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02.08.2022г. №86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bookmarkStart w:id="0" w:name="_GoBack"/>
          <w:bookmarkEnd w:id="0"/>
          <w:p w:rsidR="00081FBD" w:rsidRPr="005E275F" w:rsidRDefault="000233F0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 w:rsidRPr="000233F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233F0">
              <w:rPr>
                <w:lang w:val="ru-RU"/>
              </w:rPr>
              <w:instrText xml:space="preserve"> "</w:instrText>
            </w:r>
            <w:r>
              <w:instrText>garantf</w:instrText>
            </w:r>
            <w:r w:rsidRPr="000233F0">
              <w:rPr>
                <w:lang w:val="ru-RU"/>
              </w:rPr>
              <w:instrText xml:space="preserve">1://98905.0/"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0233F0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4829D0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16548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в постановление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4829D0" w:rsidRPr="005E275F">
        <w:rPr>
          <w:rFonts w:ascii="Times New Roman" w:hAnsi="Times New Roman" w:cs="Times New Roman"/>
          <w:sz w:val="28"/>
          <w:szCs w:val="28"/>
          <w:lang w:val="ru-RU"/>
        </w:rPr>
        <w:t>утверждении муниципальной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A0731B" w:rsidRPr="00A0731B">
        <w:rPr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 93, от</w:t>
      </w:r>
      <w:r w:rsidR="00A073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731B" w:rsidRPr="00A0731B">
        <w:rPr>
          <w:rFonts w:ascii="Times New Roman" w:hAnsi="Times New Roman" w:cs="Times New Roman"/>
          <w:bCs/>
          <w:sz w:val="28"/>
          <w:szCs w:val="28"/>
          <w:lang w:val="ru-RU"/>
        </w:rPr>
        <w:t>30.07.2021г. № 54</w:t>
      </w:r>
      <w:r w:rsidR="004829D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829D0" w:rsidRPr="004829D0">
        <w:rPr>
          <w:lang w:val="ru-RU"/>
        </w:rPr>
        <w:t xml:space="preserve"> </w:t>
      </w:r>
      <w:r w:rsidR="004829D0" w:rsidRPr="004829D0">
        <w:rPr>
          <w:rFonts w:ascii="Times New Roman" w:hAnsi="Times New Roman" w:cs="Times New Roman"/>
          <w:bCs/>
          <w:sz w:val="28"/>
          <w:szCs w:val="28"/>
          <w:lang w:val="ru-RU"/>
        </w:rPr>
        <w:t>от 30.12.2021г. №102</w:t>
      </w:r>
      <w:r w:rsidR="000233F0" w:rsidRPr="000233F0">
        <w:rPr>
          <w:rFonts w:ascii="Times New Roman" w:hAnsi="Times New Roman" w:cs="Times New Roman"/>
          <w:bCs/>
          <w:sz w:val="28"/>
          <w:szCs w:val="28"/>
          <w:lang w:val="ru-RU"/>
        </w:rPr>
        <w:t>, от 02.08.2022г. №86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165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Контроль за исполнением настоящего постановления оставляю </w:t>
      </w:r>
      <w:r w:rsidR="004829D0" w:rsidRPr="005E275F">
        <w:rPr>
          <w:rFonts w:ascii="Times New Roman" w:hAnsi="Times New Roman"/>
          <w:sz w:val="28"/>
          <w:szCs w:val="28"/>
        </w:rPr>
        <w:t>за собой</w:t>
      </w:r>
      <w:r w:rsidRPr="005E275F">
        <w:rPr>
          <w:rFonts w:ascii="Times New Roman" w:hAnsi="Times New Roman"/>
          <w:sz w:val="28"/>
          <w:szCs w:val="28"/>
        </w:rPr>
        <w:t>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A0731B" w:rsidRDefault="00A073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A0731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П.С. Клопов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A0731B">
      <w:pPr>
        <w:pStyle w:val="1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</w:tblGrid>
      <w:tr w:rsidR="00DD60BB" w:rsidRPr="000233F0" w:rsidTr="004829D0">
        <w:tc>
          <w:tcPr>
            <w:tcW w:w="3925" w:type="dxa"/>
          </w:tcPr>
          <w:p w:rsidR="009E4871" w:rsidRDefault="009E4871" w:rsidP="001654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Pr="005E275F" w:rsidRDefault="00DD60BB" w:rsidP="004829D0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Приложение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</w:t>
            </w:r>
            <w:r w:rsidR="004829D0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Козлы» от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233F0">
              <w:rPr>
                <w:rFonts w:ascii="Times New Roman" w:hAnsi="Times New Roman"/>
                <w:sz w:val="16"/>
                <w:szCs w:val="16"/>
                <w:lang w:val="ru-RU"/>
              </w:rPr>
              <w:t>25.10.2022 года №122</w:t>
            </w:r>
          </w:p>
          <w:p w:rsidR="0016548B" w:rsidRPr="0016548B" w:rsidRDefault="0016548B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 внесении изменений в постановление «Об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утверждении муниципальной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829D0"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программы «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A0731B" w:rsidRPr="00A0731B">
              <w:rPr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 93, от</w:t>
            </w:r>
            <w:r w:rsidR="00A073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A0731B" w:rsidRPr="00A0731B">
              <w:rPr>
                <w:rFonts w:ascii="Times New Roman" w:hAnsi="Times New Roman"/>
                <w:sz w:val="16"/>
                <w:szCs w:val="16"/>
                <w:lang w:val="ru-RU"/>
              </w:rPr>
              <w:t>30.07.2021г. № 54</w:t>
            </w:r>
            <w:r w:rsidR="004829D0">
              <w:rPr>
                <w:lang w:val="ru-RU"/>
              </w:rPr>
              <w:t xml:space="preserve">, </w:t>
            </w:r>
            <w:r w:rsidR="004829D0" w:rsidRPr="004829D0">
              <w:rPr>
                <w:rFonts w:ascii="Times New Roman" w:hAnsi="Times New Roman"/>
                <w:sz w:val="16"/>
                <w:szCs w:val="16"/>
                <w:lang w:val="ru-RU"/>
              </w:rPr>
              <w:t>от 30.12.2021г. №102</w:t>
            </w:r>
            <w:r w:rsidR="000233F0" w:rsidRPr="000233F0">
              <w:rPr>
                <w:rFonts w:ascii="Times New Roman" w:hAnsi="Times New Roman"/>
                <w:sz w:val="16"/>
                <w:szCs w:val="16"/>
                <w:lang w:val="ru-RU"/>
              </w:rPr>
              <w:t>, от 02.08.2022г. №86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20420" w:rsidRPr="000233F0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0233F0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0233F0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0233F0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0233F0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4829D0" w:rsidRPr="0066401E">
              <w:rPr>
                <w:rFonts w:ascii="Times New Roman" w:hAnsi="Times New Roman"/>
              </w:rPr>
              <w:t>изменений в Градостроительный кодекс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</w:t>
            </w:r>
            <w:r w:rsidR="004829D0">
              <w:rPr>
                <w:rFonts w:ascii="Times New Roman" w:hAnsi="Times New Roman"/>
              </w:rPr>
              <w:t>ФЗ «</w:t>
            </w:r>
            <w:r w:rsidR="00074677">
              <w:rPr>
                <w:rFonts w:ascii="Times New Roman" w:hAnsi="Times New Roman"/>
              </w:rPr>
              <w:t xml:space="preserve">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"Об</w:t>
            </w:r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утверждении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0233F0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0233F0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0233F0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1" w:name="page5"/>
            <w:bookmarkEnd w:id="1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0233F0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0233F0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233F0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(тыс.</w:t>
            </w:r>
            <w:r w:rsidR="006228A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33F0" w:rsidRDefault="000233F0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0233F0">
              <w:rPr>
                <w:rFonts w:ascii="Times New Roman" w:hAnsi="Times New Roman"/>
                <w:b/>
              </w:rPr>
              <w:t>4849,3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0233F0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0233F0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r>
              <w:rPr>
                <w:rFonts w:ascii="Times New Roman" w:hAnsi="Times New Roman"/>
              </w:rPr>
              <w:t>.</w:t>
            </w:r>
            <w:r w:rsidRPr="006F0D19">
              <w:rPr>
                <w:rFonts w:ascii="Times New Roman" w:hAnsi="Times New Roman"/>
              </w:rPr>
              <w:t xml:space="preserve"> автомобильных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0233F0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0233F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2" w:name="page7"/>
      <w:bookmarkEnd w:id="2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0233F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0233F0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1E8E" w:rsidRPr="0092615D" w:rsidTr="009D1E8E">
        <w:trPr>
          <w:trHeight w:val="2882"/>
        </w:trPr>
        <w:tc>
          <w:tcPr>
            <w:tcW w:w="563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F40CC" w:rsidRPr="00E80B06" w:rsidRDefault="005F40CC" w:rsidP="009D1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 w:rsidR="009D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13AA" w:rsidRPr="00E80B06" w:rsidRDefault="002E13AA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F40CC" w:rsidRPr="00E80B06" w:rsidRDefault="000233F0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4849,3</w:t>
            </w:r>
          </w:p>
        </w:tc>
        <w:tc>
          <w:tcPr>
            <w:tcW w:w="971" w:type="dxa"/>
          </w:tcPr>
          <w:p w:rsidR="005F40CC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F40CC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4829D0" w:rsidRPr="00E80B06" w:rsidRDefault="000233F0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1716,8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16548B" w:rsidRDefault="000233F0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4849,3</w:t>
            </w:r>
          </w:p>
          <w:p w:rsidR="000233F0" w:rsidRPr="00E80B06" w:rsidRDefault="000233F0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A073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766,8</w:t>
            </w:r>
          </w:p>
        </w:tc>
        <w:tc>
          <w:tcPr>
            <w:tcW w:w="971" w:type="dxa"/>
          </w:tcPr>
          <w:p w:rsidR="0016548B" w:rsidRPr="00E80B06" w:rsidRDefault="000233F0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1716,8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 w15:restartNumberingAfterBreak="0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 w15:restartNumberingAfterBreak="0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4"/>
    <w:rsid w:val="000233F0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F09BE"/>
    <w:rsid w:val="001F24A3"/>
    <w:rsid w:val="001F4B79"/>
    <w:rsid w:val="00201F9F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829D0"/>
    <w:rsid w:val="004B64D7"/>
    <w:rsid w:val="004D67CD"/>
    <w:rsid w:val="004F68A3"/>
    <w:rsid w:val="00534CBE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D1A96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0731B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B7E8A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8746-115B-4C83-A132-7A5F85B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Большие Козлы</cp:lastModifiedBy>
  <cp:revision>4</cp:revision>
  <cp:lastPrinted>2022-10-24T12:42:00Z</cp:lastPrinted>
  <dcterms:created xsi:type="dcterms:W3CDTF">2022-10-24T12:38:00Z</dcterms:created>
  <dcterms:modified xsi:type="dcterms:W3CDTF">2022-10-24T12:42:00Z</dcterms:modified>
</cp:coreProperties>
</file>