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02" w:rsidRPr="00CC14FF" w:rsidRDefault="001E0B02" w:rsidP="001E0B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Pr="0042715D">
        <w:rPr>
          <w:rFonts w:ascii="Times New Roman" w:hAnsi="Times New Roman"/>
          <w:b/>
          <w:sz w:val="32"/>
          <w:szCs w:val="32"/>
        </w:rPr>
        <w:t>СЕЛЬСКАЯ ДУМА</w:t>
      </w:r>
    </w:p>
    <w:p w:rsidR="001E0B02" w:rsidRPr="0042715D" w:rsidRDefault="001E0B02" w:rsidP="001E0B02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2715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42715D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</w:p>
    <w:p w:rsidR="001E0B02" w:rsidRPr="0042715D" w:rsidRDefault="001E0B02" w:rsidP="001E0B02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2715D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Pr="0042715D">
        <w:rPr>
          <w:rFonts w:ascii="Times New Roman" w:hAnsi="Times New Roman"/>
          <w:sz w:val="28"/>
          <w:szCs w:val="28"/>
        </w:rPr>
        <w:t>Григоровское</w:t>
      </w:r>
      <w:proofErr w:type="spellEnd"/>
      <w:r w:rsidRPr="0042715D">
        <w:rPr>
          <w:rFonts w:ascii="Times New Roman" w:hAnsi="Times New Roman"/>
          <w:sz w:val="28"/>
          <w:szCs w:val="28"/>
        </w:rPr>
        <w:t>»</w:t>
      </w:r>
    </w:p>
    <w:p w:rsidR="001E0B02" w:rsidRDefault="001E0B02" w:rsidP="001E0B02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E0B02" w:rsidRPr="0042715D" w:rsidRDefault="001E0B02" w:rsidP="001E0B02">
      <w:pPr>
        <w:spacing w:line="240" w:lineRule="auto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715D">
        <w:rPr>
          <w:rFonts w:ascii="Times New Roman" w:hAnsi="Times New Roman"/>
          <w:b/>
          <w:sz w:val="36"/>
          <w:szCs w:val="36"/>
        </w:rPr>
        <w:t>РЕШЕНИЕ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от «</w:t>
      </w:r>
      <w:proofErr w:type="gramStart"/>
      <w:r>
        <w:rPr>
          <w:rFonts w:ascii="Times New Roman" w:hAnsi="Times New Roman"/>
          <w:sz w:val="26"/>
          <w:szCs w:val="26"/>
        </w:rPr>
        <w:t>22</w:t>
      </w:r>
      <w:r w:rsidRPr="0042715D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>июня</w:t>
      </w:r>
      <w:proofErr w:type="gramEnd"/>
      <w:r w:rsidRPr="0042715D">
        <w:rPr>
          <w:rFonts w:ascii="Times New Roman" w:hAnsi="Times New Roman"/>
          <w:sz w:val="26"/>
          <w:szCs w:val="26"/>
        </w:rPr>
        <w:t xml:space="preserve">  2015 года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214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мониторинге </w:t>
      </w:r>
      <w:proofErr w:type="spellStart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правоприменения</w:t>
      </w:r>
      <w:proofErr w:type="spellEnd"/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нормативных правовых актов</w:t>
      </w:r>
    </w:p>
    <w:bookmarkEnd w:id="0"/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Рассмотрев подготовленный прокуратурой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Перемышльского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района проект нормативного правового акта, 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20.05.2011 № 657 «О мониторинге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в Российской Федерации», Законом Калужской области от 27.04.2007 № 305-ОЗ «О противодействии коррупции в Калужской области», Уставом муниципального образования сельское поселение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CB7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Сельская Дума: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 w:rsidRPr="00366667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1. Утвердить Порядок проведения мониторинга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(приложение</w:t>
      </w:r>
      <w:r w:rsidRPr="00366667">
        <w:rPr>
          <w:rFonts w:ascii="Times New Roman" w:hAnsi="Times New Roman"/>
          <w:color w:val="000000"/>
          <w:sz w:val="28"/>
          <w:szCs w:val="28"/>
        </w:rPr>
        <w:t>)</w:t>
      </w:r>
      <w:r w:rsidRPr="00366667">
        <w:rPr>
          <w:rFonts w:ascii="Times New Roman" w:hAnsi="Times New Roman"/>
          <w:color w:val="000000"/>
          <w:sz w:val="26"/>
          <w:szCs w:val="26"/>
        </w:rPr>
        <w:t>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2. Определить в качестве органа уполномоченного на проведение мониторинга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Администрацию (исполнительно-распорядительный орган)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Настоящее решение вступает в силу с момента официального обнародования.</w:t>
      </w:r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</w:t>
      </w: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Е.А.Андрейчикова</w:t>
      </w:r>
      <w:proofErr w:type="spellEnd"/>
    </w:p>
    <w:p w:rsidR="001E0B02" w:rsidRPr="00366667" w:rsidRDefault="001E0B02" w:rsidP="001E0B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6667">
        <w:rPr>
          <w:rFonts w:ascii="Times New Roman" w:hAnsi="Times New Roman"/>
          <w:color w:val="000000"/>
          <w:sz w:val="24"/>
          <w:szCs w:val="24"/>
        </w:rPr>
        <w:br/>
      </w:r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</w:p>
    <w:p w:rsidR="001E0B02" w:rsidRDefault="001E0B02" w:rsidP="001E0B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6667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к Решению Сельской Думы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от «22» июня    2015 г    </w:t>
      </w:r>
      <w:r w:rsidRPr="00366667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214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ПОРЯДОК ПРОВЕДЕНИЯ МОНИТОРИНГА ПРАВОПРИМЕНЕНИЯ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НОРМАТИВНЫХ ПРАВОВЫХ АКТОВ СЕЛЬСКОГО ПОСЕЛЕНИЯ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1. Общие положения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1. Под мониторингом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 органов местного самоуправления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(далее - мониторинг) понимается комплексная и плановая деятельность, осуществляемая уполномоченными органами местного самоуправления в пределах своих полномочий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Мониторинг включает в себя сбор, обобщение, анализ и оценку практики применения: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решений Сельской Думы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постановлений Администрации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2. Правовой основой проведения мониторинга являются Указ Президента Российской Федерации от 20.05.2011 № 657 «О мониторинге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в Российской Федерации», Закон Калужской области от 28.03.2013 года № 407-ОЗ «О мониторинге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 Калужской области», Закон Калужской области от 27.04.2007 № 305-ОЗ «О противодействии коррупции в Калужской области» и настоящий нормативный правовой акт (далее – Порядок).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27"/>
      <w:bookmarkEnd w:id="1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2. Цели и задачи проведения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1. Мониторинг проводится в целях: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выявления соответствия достигаемых при реализации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результатов тем, которые планировались при их принятии;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2) своевременного устранения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факторов, пробелов и недостатков правового регулирования, противоречий между нормативными правовыми актами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равной юридической силы;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определения эффективности действия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а также совершенствования правовых механизмов повышения качества принимаемых органами местного самоуправления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нормативных правовых актов;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выявления, устранения и предотвращения нежелательных последствий действия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совершенствования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2. Задачами проведения мониторинга являются: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обеспечение систематизации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обеспечение контроля за реализацией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выявление причин, препятствующих исполнению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», и подготовка предложений по их устранению, а также выработка мер по повышению эффективности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и противодействия коррупции;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анализ и оценка соответствия практики реализации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планируемому результату правового регулирования;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выявление противоречий, коллизий, дублирования и пробелов в нормативных правовых актах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определение эффективности действия правовых норм с целью совершенствования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формирование перспективных направлений и создание результативного механизма законотворческой деятельности, а также разработка предложений по повышению качества правотворческого процесса;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7) повышение эффективности исполнения (применения) нормативных правовых актов Калужской области;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8) получение информации о потребностях правового регулирования определенного комплекса общественных отношений;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9) определение полноты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урегулированности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вопросов, отнесенных к предметам ведения органов местного самоуправления поселений.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В ходе мониторинга осуществляется оценка эффективности реализации нормативных правовы</w:t>
      </w:r>
      <w:r>
        <w:rPr>
          <w:rFonts w:ascii="Times New Roman" w:hAnsi="Times New Roman"/>
          <w:color w:val="000000"/>
          <w:sz w:val="26"/>
          <w:szCs w:val="26"/>
        </w:rPr>
        <w:t xml:space="preserve">х актов сельского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как показателя достижения социально значимого результата в соответствующей сфере общественных отношений.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Par48"/>
      <w:bookmarkEnd w:id="2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3. Принципы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Принципами мониторинга являются: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плановость;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непрерывность;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целенаправленность, системность и комплексность;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полнота, всесторонность и объективность (мониторинг проводится путем широкого изучения официальной информации о реализации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судебной практики по вопросам их применения)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гласность (информационная открытость).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Par57"/>
      <w:bookmarkEnd w:id="3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4. Виды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1. Основными видами мониторинга являются: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текущий;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оперативный.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Текущий мониторинг осуществляется на регулярной основе в отношении отрасли законодательства и группы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Оперативный мониторинг осуществляется в течение первого года действия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4. По объему анализируемых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различаются: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мониторинг отдельно взятого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мониторинг группы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комплексно регулирующих отдельную сферу общественных отношений;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мониторинг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в целом.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Par70"/>
      <w:bookmarkEnd w:id="4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5. Инициаторы проведения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Par72"/>
      <w:bookmarkEnd w:id="5"/>
      <w:r w:rsidRPr="00366667">
        <w:rPr>
          <w:rFonts w:ascii="Times New Roman" w:hAnsi="Times New Roman"/>
          <w:color w:val="000000"/>
          <w:sz w:val="26"/>
          <w:szCs w:val="26"/>
        </w:rPr>
        <w:t>1. Инициаторами проведения мониторинга могут выступать депутаты Сельской Думы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Председатель Сельской Думы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Глава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Глава Администрации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Решение о проведении мониторинга принимается: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в отношении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принятых Сельской Думой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- председателем Сельской Думы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в отношении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принятых Администрацией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и Главой Администрации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Par77"/>
      <w:bookmarkStart w:id="7" w:name="Par90"/>
      <w:bookmarkEnd w:id="6"/>
      <w:bookmarkEnd w:id="7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6. Исполнители проведения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1. Исполнителем при проведении мониторинга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является уполномоченный орган местного самоуправления (далее по тексту – уполномоченный орган).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Уполномоченный орган в целях обеспечения всестороннего и полного проведения мониторинга в соответствии с законодательством могут: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привлекать к данному процессу государственные и муниципальные учреждения, научные учреждения, высшие учебные заведения, иные организации, независимых экспертов;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направлять запросы о предоставлении информации, содержащей данные о реализации нормативных правовых актов Калужской области.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Проведение мониторинга может сопровождаться: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проведением «круглых столов», депутатских слушаний, совещаний, конференций, семинаров и других мероприятий, направленных на достижение целей мониторинга;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образованием рабочих групп из числа депутатов Сельской Думы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представителей иных органов местного самоуправления, организаций, независимых экспертов, а также иных лиц, чье участие в деятельности рабочих групп будет сочтено целесообразным.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6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4. Администрацией муниципального образовани</w:t>
      </w:r>
      <w:r>
        <w:rPr>
          <w:rFonts w:ascii="Times New Roman" w:hAnsi="Times New Roman"/>
          <w:color w:val="000000"/>
          <w:sz w:val="26"/>
          <w:szCs w:val="26"/>
        </w:rPr>
        <w:t xml:space="preserve">я сельское поселение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» назначается должностное лицо ответственное за проведение мониторинга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нормативных правовых актов.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Par102"/>
      <w:bookmarkEnd w:id="8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7. Организация проведения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1. Уполномоченный орган проводит мониторинг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в соответствии с методикой проведения мониторинга (статья 9 настоящего Порядка).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При проведении мониторинга дается оценка показателям, по которым оценивается информация о практике применения нормативных правовых актов.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9" w:name="Par118"/>
      <w:bookmarkEnd w:id="9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8. Информация, используемая при проведении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0" w:name="Par120"/>
      <w:bookmarkEnd w:id="10"/>
      <w:r w:rsidRPr="00366667">
        <w:rPr>
          <w:rFonts w:ascii="Times New Roman" w:hAnsi="Times New Roman"/>
          <w:color w:val="000000"/>
          <w:sz w:val="26"/>
          <w:szCs w:val="26"/>
        </w:rPr>
        <w:t>1. При проведении мониторинга используются: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практика судов общей юрисдикции и арбитражных судов;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практика деятельности органов местного самоуправления, их комиссий, комитетов и рабочих групп;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3) информация о практике применения нормативных правовых актов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поступившая от органов государственной власти, органов государственной власти Калужской области и органов местного самоуправления;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информация, поступившая из общественных, научных, правозащитных и иных организаций;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информация, почерпнутая из средств массовой информации;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информация, поступившая от граждан;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7) итоговые документы депутатских слушаний, "круглых столов", конференций, семинаров и иных мероприятий, проводимых органами местного самоуправления;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8) информация, поступившая из иных официальных источников.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При осуществлении мониторинга помимо видов информации, указанных в пункте 1 настоящей статьи, могут быть использованы, в том числе следующие виды информации: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статистическая информация;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социологическая информация, формируемая на основе данных социологических исследований, в том числе опросов общественного мнения.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1" w:name="Par133"/>
      <w:bookmarkEnd w:id="11"/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9. Методика проведения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1. При проведении мониторинга должны быть определены следующие элементы юридической характеристики нормативного правового акта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«</w:t>
      </w:r>
      <w:r w:rsidRPr="0036666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Деревня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</w:t>
      </w:r>
      <w:r w:rsidRPr="00366667">
        <w:rPr>
          <w:rFonts w:ascii="Times New Roman" w:hAnsi="Times New Roman"/>
          <w:color w:val="000000"/>
          <w:sz w:val="26"/>
          <w:szCs w:val="26"/>
        </w:rPr>
        <w:t>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предмет правового регулирования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его цели (задачи);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общая характеристика и оценка состояния правового регулирования соответствующих общественных отношений (перечень нормативных правовых актов, регулирующих соответствующие общественные отношения, место исследуемого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в системе указанных нормативных правовых актов);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круг лиц, на которых распространяется действие нормативного правового акта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их права и обязанности;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перечень уполномоченных нормативным правовым актом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органов местного самоуправления и должностных лиц, а также их компетенция;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опубликование (обнародование) нормативного правового акта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(дата и источник официального опубликования, дата вступления в силу);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6) ответственность за нарушение нормативного правового акта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иные меры правового воздействия в отношении субъектов исследуемых правоотношений и практика их применения.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2" w:name="Par142"/>
      <w:bookmarkEnd w:id="12"/>
      <w:r w:rsidRPr="00366667">
        <w:rPr>
          <w:rFonts w:ascii="Times New Roman" w:hAnsi="Times New Roman"/>
          <w:color w:val="000000"/>
          <w:sz w:val="26"/>
          <w:szCs w:val="26"/>
        </w:rPr>
        <w:t>2. В ходе наблюдения за реализацией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уполномоченный орган осуществляет сбор, обработку и систематизацию информации, имеющей отношение к решению задач мониторинга. Наблюдением за реализацией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являются: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информация о правоприменительной практике органов местного самоуправления, их структурных подразделений и должностных лиц;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информация о содержании обращений граждан, поступающих в органы местного самоуправления, касающиеся практики применения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информация об оспаривании нормативного правового акта в судебном порядке, принятых решениях (постановлениях) и результатах их исполнения;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информация о судебной практике, мерах прокурорского реагирования, иные данные правоохранительных органов, касающиеся применения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акты официального толкования;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информация, поступившая из общественных, научных, правозащитных и иных организаций;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7) резолюции научно-практических конференций, научно-практических семинаров, рекомендации депутатских слушаний и "круглых столов", экспертные заключения, мнения ученых, специалистов;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8) информация официальных статистических данных;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9) итоги выездных встреч и совещаний;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10) информация, почерпнутая из средств массовой информации.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Критериями оценки эффективности реализации нормативного правового акта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являются: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актуальность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соответствие нормативного правового акта федеральному законодательству и законодательству Калужской области;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реальность исполнения норм, в том числе их финансовая обеспеченность (социально-экономический эффект, достижение установленных нормативным правовым актом целей);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результативность принятия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организационная, кадровая обеспеченность реализации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предложения по повышению эффективности реализации нормативного правового акта.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4. При проведении мониторинга для обеспечения принятия (издания), изменения или признания утратившими силу (отмены)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обобщается, анализируется и оценивается информация о практике их применения по следующим показателям: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несоблюдение гарантированных прав, свобод и законных интересов человека и гражданина;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наличие нормативных правовых актов, необходимость принятия (издания) которых предусмотрена актами большей юридической силы;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3) несоблюдение пределов компетенции органа местного самоуправления при издании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законов Калужской области при принятии нормативного правового акта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6) наличие в нормативном правовом акте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7) неполнота в правовом регулировании общественных отношений;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8) коллизия норм права;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9) наличие ошибок юридико-технического характера;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10) использование положений нормативных правовых актов в качестве оснований совершения юридически значимых действий;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11) искажение смысла положений нормативного правового акта при его применении;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12) неправомерные или необоснованные решения, действия (бездействие) при применении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13) использование норм, позволяющих расширительно толковать компетенцию органов местного самоуправления;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14) наличие (отсутствие) единообразной практики применения нормативных правовых актов;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15) количество и содержание обращений по вопросам разъяснения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16)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17)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5. В целях реализации антикоррупционной политики и устранения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 при осуществлении мониторинга для обеспечения принятия (издания), изменения или признания утратившими силу (отмены)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обобщается, анализируется и оценивается информация о практике их применения по следующим показателям: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несоблюдение пределов компетенции органа местного самоуправления при издании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неправомерные или необоснованные решения, действия (бездействие) при применении нормативного правового акта;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3) наличие в нормативном правовом акте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4) наиболее часто встречающиеся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факторы в нормативных правовых актах;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5) количество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факторов, выявленных в нормативном правовом акте при проведении антикоррупционной экспертизы уполномоченными органами;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 xml:space="preserve">6) количество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факторов, выявленных в нормативном правовом акте при проведении антикоррупционной экспертизы независимыми экспертами;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7) сроки приведения нормативных правовых актов в соответствие с антикоррупционным законодательством Российской Федерации;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8)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коррупциогенных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 xml:space="preserve"> факторов;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9)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6. В целях устранения противоречий между нормативными правовыми актами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равной юридической силы при осуществлении мониторинга для обеспечения принятия (издания), изменения или признания утратившими силу (отмены) нормативных правовых актов Калужской области обобщается, анализируется и оценивается информация о практике их применения по следующим показателям: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наличие противоречий между нормативными правовыми актами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поселения «Деревня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 общего характера и нормативными правовыми актами специального характера, регулирующими однородные отношения;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наличие единой понятийно-терминологической системы в нормативных правовых актах;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3) наличие дублирующих норм права в нормативных правовых актах;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наличие противоречий в нормативных правовых актах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регулирующих однородные отношения, принятых в разные периоды;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5) наличие ошибок юридико-технического характера в нормативных правовых актах;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», наличия в них дублирующих норм и противоречий, а также ошибок юридико-технического характера.</w:t>
      </w:r>
      <w:bookmarkStart w:id="13" w:name="Par200"/>
      <w:bookmarkEnd w:id="13"/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b/>
          <w:bCs/>
          <w:color w:val="000000"/>
          <w:sz w:val="26"/>
          <w:szCs w:val="26"/>
        </w:rPr>
        <w:t>Статья 10. Результаты мониторинга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1. По окончании проведения мониторинга исполнители мониторинга готовят информацию о результатах мониторинга, а также предложения: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1) о необходимости принятия (издания), изменения или признания утратившими силу (отмены)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2) об обращении в Законодательное Собрание Калужской области для использования права на принятие (издание), изменения или признания утратившими силу (отмены) законов;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4) о мерах по совершенствованию нормативных правовых актов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»;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 xml:space="preserve">5) о мерах по повышению эффективности </w:t>
      </w:r>
      <w:proofErr w:type="spellStart"/>
      <w:r w:rsidRPr="00366667">
        <w:rPr>
          <w:rFonts w:ascii="Times New Roman" w:hAnsi="Times New Roman"/>
          <w:color w:val="000000"/>
          <w:sz w:val="26"/>
          <w:szCs w:val="26"/>
        </w:rPr>
        <w:t>правоприменения</w:t>
      </w:r>
      <w:proofErr w:type="spellEnd"/>
      <w:r w:rsidRPr="00366667">
        <w:rPr>
          <w:rFonts w:ascii="Times New Roman" w:hAnsi="Times New Roman"/>
          <w:color w:val="000000"/>
          <w:sz w:val="26"/>
          <w:szCs w:val="26"/>
        </w:rPr>
        <w:t>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6) о мерах по повышению эффективности противодействия коррупции;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lastRenderedPageBreak/>
        <w:t>7) о проведении разъяснительных и информационных мероприятий, направленных на повышение эффективности реализации нормативных правовых актов сельског</w:t>
      </w:r>
      <w:r>
        <w:rPr>
          <w:rFonts w:ascii="Times New Roman" w:hAnsi="Times New Roman"/>
          <w:color w:val="000000"/>
          <w:sz w:val="26"/>
          <w:szCs w:val="26"/>
        </w:rPr>
        <w:t xml:space="preserve">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поселения  «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</w:t>
      </w:r>
      <w:r w:rsidRPr="00366667">
        <w:rPr>
          <w:rFonts w:ascii="Times New Roman" w:hAnsi="Times New Roman"/>
          <w:color w:val="000000"/>
          <w:sz w:val="26"/>
          <w:szCs w:val="26"/>
        </w:rPr>
        <w:t>;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8) иные предложения, направленные на совершенствование нормативных правовых актов, основанные на результатах мониторинга.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2. Информация о результатах мониторинга и предложения направляются в органы местного самоуправления или должностным лицам, принявшим решение о проведении мониторинга.</w:t>
      </w:r>
    </w:p>
    <w:p w:rsidR="001E0B02" w:rsidRPr="00366667" w:rsidRDefault="001E0B02" w:rsidP="001E0B02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66667">
        <w:rPr>
          <w:rFonts w:ascii="Times New Roman" w:hAnsi="Times New Roman"/>
          <w:color w:val="000000"/>
          <w:sz w:val="26"/>
          <w:szCs w:val="26"/>
        </w:rPr>
        <w:t>3. Информация о проведении и результатах мониторинга, а также о мерах по реализации результатов мониторинга размещается органами местного самоуправления на их официальном сайте в информационно-телекоммуникационной сети Интернет.</w:t>
      </w:r>
    </w:p>
    <w:p w:rsidR="001E0B02" w:rsidRDefault="001E0B02" w:rsidP="001E0B02">
      <w:pPr>
        <w:spacing w:line="240" w:lineRule="auto"/>
        <w:contextualSpacing/>
      </w:pPr>
    </w:p>
    <w:p w:rsidR="001E0B02" w:rsidRDefault="001E0B02" w:rsidP="001E0B0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79B2" w:rsidRDefault="005E79B2"/>
    <w:sectPr w:rsidR="005E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1"/>
    <w:rsid w:val="001E0B02"/>
    <w:rsid w:val="003F4421"/>
    <w:rsid w:val="005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FCBF"/>
  <w15:chartTrackingRefBased/>
  <w15:docId w15:val="{550FD506-C5F1-439E-8537-E657D232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3137</Words>
  <Characters>17883</Characters>
  <Application>Microsoft Office Word</Application>
  <DocSecurity>0</DocSecurity>
  <Lines>149</Lines>
  <Paragraphs>41</Paragraphs>
  <ScaleCrop>false</ScaleCrop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2025-06-09T07:13:00Z</dcterms:created>
  <dcterms:modified xsi:type="dcterms:W3CDTF">2025-06-09T07:15:00Z</dcterms:modified>
</cp:coreProperties>
</file>