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1D" w:rsidRPr="00862B46" w:rsidRDefault="005F701D" w:rsidP="005F701D">
      <w:pPr>
        <w:jc w:val="center"/>
        <w:rPr>
          <w:b/>
          <w:caps/>
          <w:sz w:val="36"/>
          <w:szCs w:val="36"/>
        </w:rPr>
      </w:pPr>
      <w:r w:rsidRPr="00862B46">
        <w:rPr>
          <w:b/>
          <w:caps/>
          <w:sz w:val="36"/>
          <w:szCs w:val="36"/>
        </w:rPr>
        <w:t>Сельская дума</w:t>
      </w:r>
    </w:p>
    <w:p w:rsidR="005F701D" w:rsidRPr="00862B46" w:rsidRDefault="005F701D" w:rsidP="005F701D">
      <w:pPr>
        <w:jc w:val="center"/>
        <w:rPr>
          <w:sz w:val="28"/>
          <w:szCs w:val="28"/>
        </w:rPr>
      </w:pPr>
      <w:r w:rsidRPr="00862B46">
        <w:rPr>
          <w:sz w:val="28"/>
          <w:szCs w:val="28"/>
        </w:rPr>
        <w:t>сельского поселения «Деревня Большие Козлы»</w:t>
      </w:r>
    </w:p>
    <w:p w:rsidR="005F701D" w:rsidRPr="00862B46" w:rsidRDefault="005F701D" w:rsidP="005F701D">
      <w:pPr>
        <w:shd w:val="clear" w:color="auto" w:fill="FFFFFF"/>
        <w:spacing w:before="336" w:line="442" w:lineRule="exact"/>
        <w:jc w:val="center"/>
      </w:pPr>
      <w:r w:rsidRPr="00862B46">
        <w:rPr>
          <w:b/>
          <w:bCs/>
          <w:spacing w:val="-5"/>
          <w:sz w:val="40"/>
          <w:szCs w:val="40"/>
        </w:rPr>
        <w:t>РЕШЕНИЕ</w:t>
      </w:r>
    </w:p>
    <w:p w:rsidR="005F701D" w:rsidRPr="00862B46" w:rsidRDefault="005F701D" w:rsidP="005F701D">
      <w:pPr>
        <w:jc w:val="center"/>
        <w:rPr>
          <w:sz w:val="28"/>
          <w:szCs w:val="28"/>
        </w:rPr>
      </w:pPr>
      <w:r w:rsidRPr="00862B46">
        <w:rPr>
          <w:sz w:val="28"/>
          <w:szCs w:val="28"/>
        </w:rPr>
        <w:t>д. Большие Козлы</w:t>
      </w:r>
    </w:p>
    <w:p w:rsidR="005F701D" w:rsidRPr="00862B46" w:rsidRDefault="005F701D" w:rsidP="005F701D">
      <w:pPr>
        <w:jc w:val="center"/>
        <w:rPr>
          <w:sz w:val="28"/>
          <w:szCs w:val="28"/>
        </w:rPr>
      </w:pPr>
    </w:p>
    <w:p w:rsidR="005F701D" w:rsidRPr="00570BD4" w:rsidRDefault="005F701D" w:rsidP="005F701D">
      <w:pPr>
        <w:rPr>
          <w:color w:val="000000" w:themeColor="text1"/>
          <w:sz w:val="24"/>
          <w:szCs w:val="24"/>
        </w:rPr>
      </w:pPr>
      <w:r w:rsidRPr="00570BD4">
        <w:rPr>
          <w:sz w:val="24"/>
          <w:szCs w:val="24"/>
        </w:rPr>
        <w:t>от «</w:t>
      </w:r>
      <w:r w:rsidR="00570BD4" w:rsidRPr="00570BD4">
        <w:rPr>
          <w:sz w:val="24"/>
          <w:szCs w:val="24"/>
        </w:rPr>
        <w:t>23</w:t>
      </w:r>
      <w:r w:rsidRPr="00570BD4">
        <w:rPr>
          <w:sz w:val="24"/>
          <w:szCs w:val="24"/>
        </w:rPr>
        <w:t>»</w:t>
      </w:r>
      <w:r w:rsidR="003C2343" w:rsidRPr="00570BD4">
        <w:rPr>
          <w:sz w:val="24"/>
          <w:szCs w:val="24"/>
        </w:rPr>
        <w:t xml:space="preserve"> </w:t>
      </w:r>
      <w:r w:rsidR="00570BD4" w:rsidRPr="00570BD4">
        <w:rPr>
          <w:sz w:val="24"/>
          <w:szCs w:val="24"/>
        </w:rPr>
        <w:t>декабря</w:t>
      </w:r>
      <w:r w:rsidR="003C2343" w:rsidRPr="00570BD4">
        <w:rPr>
          <w:sz w:val="24"/>
          <w:szCs w:val="24"/>
        </w:rPr>
        <w:t xml:space="preserve"> </w:t>
      </w:r>
      <w:r w:rsidRPr="00570BD4">
        <w:rPr>
          <w:sz w:val="24"/>
          <w:szCs w:val="24"/>
        </w:rPr>
        <w:t>202</w:t>
      </w:r>
      <w:r w:rsidR="003169DC" w:rsidRPr="00570BD4">
        <w:rPr>
          <w:sz w:val="24"/>
          <w:szCs w:val="24"/>
        </w:rPr>
        <w:t>4</w:t>
      </w:r>
      <w:r w:rsidRPr="00570BD4">
        <w:rPr>
          <w:sz w:val="24"/>
          <w:szCs w:val="24"/>
        </w:rPr>
        <w:t xml:space="preserve"> года                </w:t>
      </w:r>
      <w:r w:rsidR="00570BD4" w:rsidRPr="00570BD4">
        <w:rPr>
          <w:sz w:val="24"/>
          <w:szCs w:val="24"/>
        </w:rPr>
        <w:t xml:space="preserve">                              </w:t>
      </w:r>
      <w:r w:rsidRPr="00570BD4">
        <w:rPr>
          <w:sz w:val="24"/>
          <w:szCs w:val="24"/>
        </w:rPr>
        <w:t xml:space="preserve">                       </w:t>
      </w:r>
      <w:r w:rsidR="003C2343" w:rsidRPr="00570BD4">
        <w:rPr>
          <w:sz w:val="24"/>
          <w:szCs w:val="24"/>
        </w:rPr>
        <w:t xml:space="preserve">    </w:t>
      </w:r>
      <w:r w:rsidR="002E4D58">
        <w:rPr>
          <w:sz w:val="24"/>
          <w:szCs w:val="24"/>
        </w:rPr>
        <w:t xml:space="preserve">                  </w:t>
      </w:r>
      <w:r w:rsidR="003C2343" w:rsidRPr="00570BD4">
        <w:rPr>
          <w:sz w:val="24"/>
          <w:szCs w:val="24"/>
        </w:rPr>
        <w:t xml:space="preserve">  </w:t>
      </w:r>
      <w:r w:rsidRPr="00570BD4">
        <w:rPr>
          <w:sz w:val="24"/>
          <w:szCs w:val="24"/>
        </w:rPr>
        <w:t xml:space="preserve">  №</w:t>
      </w:r>
      <w:r w:rsidR="007671AA" w:rsidRPr="00570BD4">
        <w:rPr>
          <w:sz w:val="24"/>
          <w:szCs w:val="24"/>
        </w:rPr>
        <w:t xml:space="preserve"> </w:t>
      </w:r>
      <w:r w:rsidR="002E4D58" w:rsidRPr="002E4D58">
        <w:rPr>
          <w:sz w:val="24"/>
          <w:szCs w:val="24"/>
        </w:rPr>
        <w:t>158</w:t>
      </w:r>
    </w:p>
    <w:p w:rsidR="005F701D" w:rsidRPr="00570BD4" w:rsidRDefault="005F701D" w:rsidP="005F701D">
      <w:pPr>
        <w:rPr>
          <w:sz w:val="24"/>
          <w:szCs w:val="24"/>
        </w:rPr>
      </w:pPr>
    </w:p>
    <w:tbl>
      <w:tblPr>
        <w:tblpPr w:leftFromText="180" w:rightFromText="180" w:vertAnchor="text" w:tblpY="1"/>
        <w:tblOverlap w:val="never"/>
        <w:tblW w:w="4957" w:type="dxa"/>
        <w:tblLook w:val="01E0" w:firstRow="1" w:lastRow="1" w:firstColumn="1" w:lastColumn="1" w:noHBand="0" w:noVBand="0"/>
      </w:tblPr>
      <w:tblGrid>
        <w:gridCol w:w="4957"/>
      </w:tblGrid>
      <w:tr w:rsidR="00570BD4" w:rsidRPr="00570BD4" w:rsidTr="00570BD4">
        <w:trPr>
          <w:trHeight w:val="2110"/>
        </w:trPr>
        <w:tc>
          <w:tcPr>
            <w:tcW w:w="4957" w:type="dxa"/>
          </w:tcPr>
          <w:p w:rsidR="00570BD4" w:rsidRPr="00570BD4" w:rsidRDefault="00570BD4" w:rsidP="00570BD4">
            <w:pPr>
              <w:pStyle w:val="a3"/>
              <w:jc w:val="both"/>
              <w:rPr>
                <w:sz w:val="24"/>
                <w:szCs w:val="24"/>
              </w:rPr>
            </w:pPr>
            <w:r w:rsidRPr="00570BD4">
              <w:rPr>
                <w:sz w:val="24"/>
                <w:szCs w:val="24"/>
              </w:rPr>
              <w:t>О внесении изменений в Решение Сельской Думы сельского поселения «Деревня Большие Козлы» от 07.10.2013г. № 149 «О схеме и порядке размещения нестационарных объектов на территории сельского поселения «Деревня Большие Козлы»</w:t>
            </w:r>
          </w:p>
        </w:tc>
      </w:tr>
    </w:tbl>
    <w:p w:rsidR="00570BD4" w:rsidRPr="00570BD4" w:rsidRDefault="00570BD4" w:rsidP="005F701D">
      <w:pPr>
        <w:autoSpaceDE w:val="0"/>
        <w:autoSpaceDN w:val="0"/>
        <w:adjustRightInd w:val="0"/>
        <w:ind w:firstLine="709"/>
        <w:jc w:val="both"/>
        <w:rPr>
          <w:sz w:val="24"/>
          <w:szCs w:val="24"/>
        </w:rPr>
      </w:pPr>
      <w:r w:rsidRPr="00570BD4">
        <w:rPr>
          <w:sz w:val="24"/>
          <w:szCs w:val="24"/>
        </w:rPr>
        <w:br w:type="textWrapping" w:clear="all"/>
      </w:r>
    </w:p>
    <w:p w:rsidR="005F701D" w:rsidRPr="00570BD4" w:rsidRDefault="005F701D" w:rsidP="00570BD4">
      <w:pPr>
        <w:autoSpaceDE w:val="0"/>
        <w:autoSpaceDN w:val="0"/>
        <w:adjustRightInd w:val="0"/>
        <w:ind w:firstLine="709"/>
        <w:jc w:val="both"/>
        <w:rPr>
          <w:b/>
          <w:sz w:val="24"/>
          <w:szCs w:val="24"/>
        </w:rPr>
      </w:pPr>
      <w:r w:rsidRPr="00570BD4">
        <w:rPr>
          <w:sz w:val="24"/>
          <w:szCs w:val="24"/>
        </w:rPr>
        <w:t>В соответствии с п. 10 ч.1 ст. 14 Федерального</w:t>
      </w:r>
      <w:r w:rsidR="002F704A" w:rsidRPr="00570BD4">
        <w:rPr>
          <w:sz w:val="24"/>
          <w:szCs w:val="24"/>
        </w:rPr>
        <w:t xml:space="preserve"> закона от 06.10.2003 № 131-ФЗ «</w:t>
      </w:r>
      <w:r w:rsidRPr="00570BD4">
        <w:rPr>
          <w:sz w:val="24"/>
          <w:szCs w:val="24"/>
        </w:rPr>
        <w:t>Об общих принципах организации местного самоуп</w:t>
      </w:r>
      <w:r w:rsidR="002F704A" w:rsidRPr="00570BD4">
        <w:rPr>
          <w:sz w:val="24"/>
          <w:szCs w:val="24"/>
        </w:rPr>
        <w:t>равления в Российской Федерации»</w:t>
      </w:r>
      <w:r w:rsidRPr="00570BD4">
        <w:rPr>
          <w:sz w:val="24"/>
          <w:szCs w:val="24"/>
        </w:rPr>
        <w:t>, ст. 10 Федерального</w:t>
      </w:r>
      <w:r w:rsidR="002F704A" w:rsidRPr="00570BD4">
        <w:rPr>
          <w:sz w:val="24"/>
          <w:szCs w:val="24"/>
        </w:rPr>
        <w:t xml:space="preserve"> закона от 28.12.2009 № 381-ФЗ «</w:t>
      </w:r>
      <w:r w:rsidRPr="00570BD4">
        <w:rPr>
          <w:sz w:val="24"/>
          <w:szCs w:val="24"/>
        </w:rPr>
        <w:t>Об основах государственного регулирования торговой деят</w:t>
      </w:r>
      <w:r w:rsidR="002F704A" w:rsidRPr="00570BD4">
        <w:rPr>
          <w:sz w:val="24"/>
          <w:szCs w:val="24"/>
        </w:rPr>
        <w:t>ельности в Российской Федерации»</w:t>
      </w:r>
      <w:r w:rsidRPr="00570BD4">
        <w:rPr>
          <w:sz w:val="24"/>
          <w:szCs w:val="24"/>
        </w:rPr>
        <w:t xml:space="preserve">, приказом Министерства конкурентной политики и тарифов Калужской </w:t>
      </w:r>
      <w:r w:rsidR="002F704A" w:rsidRPr="00570BD4">
        <w:rPr>
          <w:sz w:val="24"/>
          <w:szCs w:val="24"/>
        </w:rPr>
        <w:t>области от 09.11.2010 г. № 543 «</w:t>
      </w:r>
      <w:r w:rsidRPr="00570BD4">
        <w:rPr>
          <w:sz w:val="24"/>
          <w:szCs w:val="24"/>
        </w:rPr>
        <w:t>О порядке  разработки и утверждения органом местного самоуправления схемы размещения нестационарных торговых объектов на территории муниципальны</w:t>
      </w:r>
      <w:r w:rsidR="002F704A" w:rsidRPr="00570BD4">
        <w:rPr>
          <w:sz w:val="24"/>
          <w:szCs w:val="24"/>
        </w:rPr>
        <w:t>х образований Калужской области»</w:t>
      </w:r>
      <w:r w:rsidRPr="00570BD4">
        <w:rPr>
          <w:sz w:val="24"/>
          <w:szCs w:val="24"/>
        </w:rPr>
        <w:t xml:space="preserve">, Сельская Дума сельского поселения «Деревня Большие Козлы» </w:t>
      </w:r>
    </w:p>
    <w:p w:rsidR="005F701D" w:rsidRPr="00570BD4" w:rsidRDefault="005F701D" w:rsidP="00570BD4">
      <w:pPr>
        <w:pStyle w:val="a3"/>
        <w:ind w:firstLine="709"/>
        <w:jc w:val="both"/>
        <w:rPr>
          <w:sz w:val="24"/>
          <w:szCs w:val="24"/>
        </w:rPr>
      </w:pPr>
    </w:p>
    <w:p w:rsidR="005F701D" w:rsidRPr="00570BD4" w:rsidRDefault="005F701D" w:rsidP="00570BD4">
      <w:pPr>
        <w:pStyle w:val="a3"/>
        <w:ind w:firstLine="709"/>
        <w:rPr>
          <w:sz w:val="24"/>
          <w:szCs w:val="24"/>
        </w:rPr>
      </w:pPr>
      <w:r w:rsidRPr="00570BD4">
        <w:rPr>
          <w:sz w:val="24"/>
          <w:szCs w:val="24"/>
        </w:rPr>
        <w:t>РЕШИЛА:</w:t>
      </w:r>
    </w:p>
    <w:p w:rsidR="005F701D" w:rsidRPr="00570BD4" w:rsidRDefault="005F701D" w:rsidP="00570BD4">
      <w:pPr>
        <w:pStyle w:val="a3"/>
        <w:ind w:firstLine="709"/>
        <w:jc w:val="both"/>
        <w:rPr>
          <w:sz w:val="24"/>
          <w:szCs w:val="24"/>
        </w:rPr>
      </w:pPr>
    </w:p>
    <w:p w:rsidR="007671AA" w:rsidRPr="00570BD4" w:rsidRDefault="007671AA" w:rsidP="00570BD4">
      <w:pPr>
        <w:pStyle w:val="a5"/>
        <w:numPr>
          <w:ilvl w:val="0"/>
          <w:numId w:val="2"/>
        </w:numPr>
        <w:spacing w:after="5" w:line="266" w:lineRule="auto"/>
        <w:ind w:left="0" w:firstLine="426"/>
        <w:jc w:val="both"/>
        <w:rPr>
          <w:sz w:val="24"/>
          <w:szCs w:val="24"/>
        </w:rPr>
      </w:pPr>
      <w:r w:rsidRPr="00570BD4">
        <w:rPr>
          <w:sz w:val="24"/>
          <w:szCs w:val="24"/>
        </w:rPr>
        <w:t>Внести в решение Сельской Думы сельского поселения «Деревня Большие Козлы» от 07.10.2013 г. № 149 (</w:t>
      </w:r>
      <w:r w:rsidR="003169DC" w:rsidRPr="00570BD4">
        <w:rPr>
          <w:sz w:val="24"/>
          <w:szCs w:val="24"/>
        </w:rPr>
        <w:t>в ред. решений от 17.12.2013г. № 158,</w:t>
      </w:r>
      <w:r w:rsidR="00570BD4" w:rsidRPr="00570BD4">
        <w:rPr>
          <w:sz w:val="24"/>
          <w:szCs w:val="24"/>
        </w:rPr>
        <w:t xml:space="preserve"> от </w:t>
      </w:r>
      <w:r w:rsidR="003169DC" w:rsidRPr="00570BD4">
        <w:rPr>
          <w:sz w:val="24"/>
          <w:szCs w:val="24"/>
        </w:rPr>
        <w:t>19.02.2019г. № 120, от 08.04.2019г. № 126, от 05.12.2022г. № 88, от 20.01.2023г. № 96, от 22.05.2023г. № 103</w:t>
      </w:r>
      <w:r w:rsidR="00570BD4" w:rsidRPr="00570BD4">
        <w:rPr>
          <w:sz w:val="24"/>
          <w:szCs w:val="24"/>
        </w:rPr>
        <w:t>, от 30.01.2024г. № 129</w:t>
      </w:r>
      <w:r w:rsidRPr="00570BD4">
        <w:rPr>
          <w:sz w:val="24"/>
          <w:szCs w:val="24"/>
        </w:rPr>
        <w:t>) «О схеме и порядке размещения нестационарных объектов на территории сельского поселения «Деревня Большие Козлы» следующие изменения и дополнения:</w:t>
      </w:r>
    </w:p>
    <w:p w:rsidR="007671AA" w:rsidRPr="00570BD4" w:rsidRDefault="007671AA" w:rsidP="00570BD4">
      <w:pPr>
        <w:pStyle w:val="a5"/>
        <w:numPr>
          <w:ilvl w:val="1"/>
          <w:numId w:val="2"/>
        </w:numPr>
        <w:spacing w:after="5" w:line="266" w:lineRule="auto"/>
        <w:ind w:left="0" w:firstLine="284"/>
        <w:jc w:val="both"/>
        <w:rPr>
          <w:sz w:val="24"/>
          <w:szCs w:val="24"/>
        </w:rPr>
      </w:pPr>
      <w:r w:rsidRPr="00570BD4">
        <w:rPr>
          <w:sz w:val="24"/>
          <w:szCs w:val="24"/>
        </w:rPr>
        <w:t>Схему размещения нестационарных торговых объектов (далее по тексту НТО) на земельных участках, в зданиях, строениях, сооружениях, находящихся в муниципальной собственности па территории сельского поселения «Деревня Большие Козлы» - приложение № 1 к указанному решению, изложить в следующей редакции (прилагается).</w:t>
      </w:r>
    </w:p>
    <w:p w:rsidR="00F90C6A" w:rsidRPr="00570BD4" w:rsidRDefault="00F90C6A" w:rsidP="00570BD4">
      <w:pPr>
        <w:pStyle w:val="a5"/>
        <w:numPr>
          <w:ilvl w:val="1"/>
          <w:numId w:val="2"/>
        </w:numPr>
        <w:spacing w:after="5" w:line="266" w:lineRule="auto"/>
        <w:ind w:left="0" w:firstLine="284"/>
        <w:jc w:val="both"/>
        <w:rPr>
          <w:sz w:val="24"/>
          <w:szCs w:val="24"/>
        </w:rPr>
      </w:pPr>
      <w:r w:rsidRPr="00570BD4">
        <w:rPr>
          <w:sz w:val="24"/>
          <w:szCs w:val="24"/>
        </w:rPr>
        <w:t>Порядок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сельского поселения «Деревня Большие Козлы» - приложение № 2 к указанному решению, изложить в следующей редакции (прилагается).</w:t>
      </w:r>
    </w:p>
    <w:p w:rsidR="005F701D" w:rsidRPr="00570BD4" w:rsidRDefault="005F701D" w:rsidP="00570BD4">
      <w:pPr>
        <w:pStyle w:val="a3"/>
        <w:ind w:firstLine="567"/>
        <w:jc w:val="both"/>
        <w:rPr>
          <w:b w:val="0"/>
          <w:i/>
          <w:sz w:val="24"/>
          <w:szCs w:val="24"/>
        </w:rPr>
      </w:pPr>
      <w:r w:rsidRPr="00570BD4">
        <w:rPr>
          <w:b w:val="0"/>
          <w:sz w:val="24"/>
          <w:szCs w:val="24"/>
        </w:rPr>
        <w:t>2. Настоящее решение вступает в силу после официального обнародования</w:t>
      </w:r>
      <w:r w:rsidRPr="00570BD4">
        <w:rPr>
          <w:b w:val="0"/>
          <w:i/>
          <w:sz w:val="24"/>
          <w:szCs w:val="24"/>
        </w:rPr>
        <w:t>.</w:t>
      </w:r>
    </w:p>
    <w:p w:rsidR="005F701D" w:rsidRPr="00570BD4" w:rsidRDefault="007671AA" w:rsidP="00570BD4">
      <w:pPr>
        <w:pStyle w:val="a3"/>
        <w:ind w:firstLine="567"/>
        <w:jc w:val="both"/>
        <w:rPr>
          <w:b w:val="0"/>
          <w:sz w:val="24"/>
          <w:szCs w:val="24"/>
        </w:rPr>
      </w:pPr>
      <w:r w:rsidRPr="00570BD4">
        <w:rPr>
          <w:b w:val="0"/>
          <w:sz w:val="24"/>
          <w:szCs w:val="24"/>
        </w:rPr>
        <w:t xml:space="preserve">3. </w:t>
      </w:r>
      <w:r w:rsidR="005F701D" w:rsidRPr="00570BD4">
        <w:rPr>
          <w:b w:val="0"/>
          <w:sz w:val="24"/>
          <w:szCs w:val="24"/>
        </w:rPr>
        <w:t>Контроль за исполнением настоящего Решения возложить на Главу администрации сельского поселения «Деревня Большие Козлы».</w:t>
      </w:r>
    </w:p>
    <w:p w:rsidR="005F701D" w:rsidRPr="00570BD4" w:rsidRDefault="005F701D" w:rsidP="00570BD4">
      <w:pPr>
        <w:pStyle w:val="a3"/>
        <w:ind w:firstLine="567"/>
        <w:jc w:val="both"/>
        <w:rPr>
          <w:b w:val="0"/>
          <w:sz w:val="24"/>
          <w:szCs w:val="24"/>
        </w:rPr>
      </w:pPr>
    </w:p>
    <w:p w:rsidR="005F701D" w:rsidRPr="00570BD4" w:rsidRDefault="005F701D" w:rsidP="00570BD4">
      <w:pPr>
        <w:pStyle w:val="a3"/>
        <w:jc w:val="both"/>
        <w:rPr>
          <w:sz w:val="24"/>
          <w:szCs w:val="24"/>
        </w:rPr>
      </w:pPr>
      <w:r w:rsidRPr="00570BD4">
        <w:rPr>
          <w:sz w:val="24"/>
          <w:szCs w:val="24"/>
        </w:rPr>
        <w:t xml:space="preserve">Глава сельского поселения                  </w:t>
      </w:r>
      <w:r w:rsidR="00570BD4">
        <w:rPr>
          <w:sz w:val="24"/>
          <w:szCs w:val="24"/>
        </w:rPr>
        <w:t xml:space="preserve">                            </w:t>
      </w:r>
      <w:r w:rsidRPr="00570BD4">
        <w:rPr>
          <w:sz w:val="24"/>
          <w:szCs w:val="24"/>
        </w:rPr>
        <w:t xml:space="preserve">                                 Т.В. Черняков</w:t>
      </w:r>
    </w:p>
    <w:p w:rsidR="005F701D" w:rsidRPr="00654CFC" w:rsidRDefault="005F701D" w:rsidP="005F701D"/>
    <w:p w:rsidR="005F701D" w:rsidRPr="00654CFC" w:rsidRDefault="005F701D" w:rsidP="005F701D"/>
    <w:p w:rsidR="005F701D" w:rsidRDefault="005F701D" w:rsidP="005F701D">
      <w:pPr>
        <w:sectPr w:rsidR="005F701D" w:rsidSect="00633415">
          <w:pgSz w:w="11906" w:h="16838"/>
          <w:pgMar w:top="1134" w:right="850" w:bottom="1134" w:left="1701" w:header="708" w:footer="708" w:gutter="0"/>
          <w:cols w:space="708"/>
          <w:docGrid w:linePitch="360"/>
        </w:sectPr>
      </w:pPr>
    </w:p>
    <w:p w:rsidR="005F701D" w:rsidRPr="00654CFC" w:rsidRDefault="005F701D" w:rsidP="005F701D"/>
    <w:p w:rsidR="005F701D" w:rsidRPr="001C1670" w:rsidRDefault="005F701D" w:rsidP="005F701D">
      <w:pPr>
        <w:jc w:val="right"/>
        <w:rPr>
          <w:sz w:val="16"/>
          <w:szCs w:val="16"/>
        </w:rPr>
      </w:pPr>
      <w:r w:rsidRPr="001C1670">
        <w:rPr>
          <w:sz w:val="16"/>
          <w:szCs w:val="16"/>
        </w:rPr>
        <w:t xml:space="preserve">Приложение № 1 </w:t>
      </w:r>
    </w:p>
    <w:p w:rsidR="005F701D" w:rsidRPr="001C1670" w:rsidRDefault="005F701D" w:rsidP="005F701D">
      <w:pPr>
        <w:jc w:val="right"/>
        <w:rPr>
          <w:sz w:val="16"/>
          <w:szCs w:val="16"/>
        </w:rPr>
      </w:pPr>
      <w:r w:rsidRPr="001C1670">
        <w:rPr>
          <w:sz w:val="16"/>
          <w:szCs w:val="16"/>
        </w:rPr>
        <w:t xml:space="preserve">к решению Сельской Думы </w:t>
      </w:r>
    </w:p>
    <w:p w:rsidR="005F701D" w:rsidRPr="001C1670" w:rsidRDefault="005F701D" w:rsidP="005F701D">
      <w:pPr>
        <w:jc w:val="right"/>
        <w:rPr>
          <w:sz w:val="16"/>
          <w:szCs w:val="16"/>
        </w:rPr>
      </w:pPr>
      <w:r w:rsidRPr="001C1670">
        <w:rPr>
          <w:sz w:val="16"/>
          <w:szCs w:val="16"/>
        </w:rPr>
        <w:t xml:space="preserve">сельского поселения «Деревня Большие Козлы» </w:t>
      </w:r>
    </w:p>
    <w:p w:rsidR="005F701D" w:rsidRPr="001C1670" w:rsidRDefault="005F701D" w:rsidP="005F701D">
      <w:pPr>
        <w:jc w:val="right"/>
        <w:rPr>
          <w:sz w:val="16"/>
          <w:szCs w:val="16"/>
        </w:rPr>
      </w:pPr>
      <w:r w:rsidRPr="001C1670">
        <w:rPr>
          <w:sz w:val="16"/>
          <w:szCs w:val="16"/>
        </w:rPr>
        <w:t xml:space="preserve">«О внесении изменений в решение Сельской Думы </w:t>
      </w:r>
    </w:p>
    <w:p w:rsidR="005F701D" w:rsidRPr="001C1670" w:rsidRDefault="005F701D" w:rsidP="005F701D">
      <w:pPr>
        <w:jc w:val="right"/>
        <w:rPr>
          <w:sz w:val="16"/>
          <w:szCs w:val="16"/>
        </w:rPr>
      </w:pPr>
      <w:r w:rsidRPr="001C1670">
        <w:rPr>
          <w:sz w:val="16"/>
          <w:szCs w:val="16"/>
        </w:rPr>
        <w:t xml:space="preserve">сельского поселения от 07.10.2013 г. № 149 </w:t>
      </w:r>
    </w:p>
    <w:p w:rsidR="005F701D" w:rsidRPr="001C1670" w:rsidRDefault="00570BD4" w:rsidP="005F701D">
      <w:pPr>
        <w:jc w:val="right"/>
        <w:rPr>
          <w:sz w:val="16"/>
          <w:szCs w:val="16"/>
        </w:rPr>
      </w:pPr>
      <w:r w:rsidRPr="001C1670">
        <w:rPr>
          <w:sz w:val="16"/>
          <w:szCs w:val="16"/>
        </w:rPr>
        <w:t xml:space="preserve"> </w:t>
      </w:r>
      <w:r w:rsidR="005F701D" w:rsidRPr="001C1670">
        <w:rPr>
          <w:sz w:val="16"/>
          <w:szCs w:val="16"/>
        </w:rPr>
        <w:t xml:space="preserve">«О схеме и порядке размещения нестационарных </w:t>
      </w:r>
    </w:p>
    <w:p w:rsidR="005F701D" w:rsidRPr="001C1670" w:rsidRDefault="005F701D" w:rsidP="005F701D">
      <w:pPr>
        <w:jc w:val="right"/>
        <w:rPr>
          <w:sz w:val="16"/>
          <w:szCs w:val="16"/>
        </w:rPr>
      </w:pPr>
      <w:r w:rsidRPr="001C1670">
        <w:rPr>
          <w:sz w:val="16"/>
          <w:szCs w:val="16"/>
        </w:rPr>
        <w:t xml:space="preserve">объектов на территории сельского поселения </w:t>
      </w:r>
    </w:p>
    <w:p w:rsidR="005F701D" w:rsidRDefault="005F701D" w:rsidP="005F701D">
      <w:pPr>
        <w:jc w:val="right"/>
        <w:rPr>
          <w:sz w:val="16"/>
          <w:szCs w:val="16"/>
        </w:rPr>
      </w:pPr>
      <w:r w:rsidRPr="001C1670">
        <w:rPr>
          <w:sz w:val="16"/>
          <w:szCs w:val="16"/>
        </w:rPr>
        <w:t xml:space="preserve">«Деревня Большие Козлы» от </w:t>
      </w:r>
      <w:r w:rsidR="00570BD4">
        <w:rPr>
          <w:sz w:val="16"/>
          <w:szCs w:val="16"/>
        </w:rPr>
        <w:t>23</w:t>
      </w:r>
      <w:r w:rsidR="003C2343" w:rsidRPr="003C2343">
        <w:rPr>
          <w:sz w:val="16"/>
          <w:szCs w:val="16"/>
        </w:rPr>
        <w:t>.</w:t>
      </w:r>
      <w:r w:rsidR="00570BD4">
        <w:rPr>
          <w:sz w:val="16"/>
          <w:szCs w:val="16"/>
        </w:rPr>
        <w:t>12</w:t>
      </w:r>
      <w:r w:rsidRPr="003C2343">
        <w:rPr>
          <w:sz w:val="16"/>
          <w:szCs w:val="16"/>
        </w:rPr>
        <w:t>.202</w:t>
      </w:r>
      <w:r w:rsidR="003169DC">
        <w:rPr>
          <w:sz w:val="16"/>
          <w:szCs w:val="16"/>
        </w:rPr>
        <w:t>4</w:t>
      </w:r>
      <w:r w:rsidRPr="003C2343">
        <w:rPr>
          <w:sz w:val="16"/>
          <w:szCs w:val="16"/>
        </w:rPr>
        <w:t>г</w:t>
      </w:r>
      <w:r>
        <w:rPr>
          <w:sz w:val="16"/>
          <w:szCs w:val="16"/>
        </w:rPr>
        <w:t xml:space="preserve">. </w:t>
      </w:r>
      <w:r w:rsidRPr="001C1670">
        <w:rPr>
          <w:sz w:val="16"/>
          <w:szCs w:val="16"/>
        </w:rPr>
        <w:t>№</w:t>
      </w:r>
      <w:r w:rsidR="002E4D58">
        <w:rPr>
          <w:sz w:val="16"/>
          <w:szCs w:val="16"/>
        </w:rPr>
        <w:t xml:space="preserve"> 158</w:t>
      </w:r>
    </w:p>
    <w:p w:rsidR="005F701D" w:rsidRPr="001C1670" w:rsidRDefault="005F701D" w:rsidP="005F701D">
      <w:pPr>
        <w:jc w:val="right"/>
        <w:rPr>
          <w:sz w:val="16"/>
          <w:szCs w:val="16"/>
        </w:rPr>
      </w:pPr>
    </w:p>
    <w:p w:rsidR="007671AA" w:rsidRPr="008641A9" w:rsidRDefault="007671AA" w:rsidP="007671AA">
      <w:pPr>
        <w:autoSpaceDE w:val="0"/>
        <w:autoSpaceDN w:val="0"/>
        <w:adjustRightInd w:val="0"/>
        <w:jc w:val="center"/>
      </w:pPr>
      <w:r w:rsidRPr="008641A9">
        <w:t>СХЕМА-ТАБЛИЦА</w:t>
      </w:r>
    </w:p>
    <w:p w:rsidR="007671AA" w:rsidRPr="008641A9" w:rsidRDefault="007671AA" w:rsidP="007671AA">
      <w:pPr>
        <w:autoSpaceDE w:val="0"/>
        <w:autoSpaceDN w:val="0"/>
        <w:adjustRightInd w:val="0"/>
        <w:jc w:val="center"/>
      </w:pPr>
      <w:r w:rsidRPr="008641A9">
        <w:t>РАЗМЕЩЕНИЯ НЕСТАЦИОНАРНЫХ ТОРГОВЫХ ОБЪЕКТОВ</w:t>
      </w:r>
    </w:p>
    <w:p w:rsidR="007671AA" w:rsidRPr="008641A9" w:rsidRDefault="007671AA" w:rsidP="007671AA">
      <w:pPr>
        <w:autoSpaceDE w:val="0"/>
        <w:autoSpaceDN w:val="0"/>
        <w:adjustRightInd w:val="0"/>
        <w:jc w:val="both"/>
        <w:outlineLvl w:val="0"/>
      </w:pPr>
    </w:p>
    <w:tbl>
      <w:tblPr>
        <w:tblW w:w="16222" w:type="dxa"/>
        <w:tblInd w:w="-834" w:type="dxa"/>
        <w:tblLayout w:type="fixed"/>
        <w:tblCellMar>
          <w:top w:w="102" w:type="dxa"/>
          <w:left w:w="62" w:type="dxa"/>
          <w:bottom w:w="102" w:type="dxa"/>
          <w:right w:w="62" w:type="dxa"/>
        </w:tblCellMar>
        <w:tblLook w:val="0000" w:firstRow="0" w:lastRow="0" w:firstColumn="0" w:lastColumn="0" w:noHBand="0" w:noVBand="0"/>
      </w:tblPr>
      <w:tblGrid>
        <w:gridCol w:w="425"/>
        <w:gridCol w:w="2898"/>
        <w:gridCol w:w="850"/>
        <w:gridCol w:w="567"/>
        <w:gridCol w:w="567"/>
        <w:gridCol w:w="567"/>
        <w:gridCol w:w="567"/>
        <w:gridCol w:w="709"/>
        <w:gridCol w:w="567"/>
        <w:gridCol w:w="425"/>
        <w:gridCol w:w="425"/>
        <w:gridCol w:w="426"/>
        <w:gridCol w:w="567"/>
        <w:gridCol w:w="567"/>
        <w:gridCol w:w="708"/>
        <w:gridCol w:w="709"/>
        <w:gridCol w:w="567"/>
        <w:gridCol w:w="709"/>
        <w:gridCol w:w="625"/>
        <w:gridCol w:w="567"/>
        <w:gridCol w:w="567"/>
        <w:gridCol w:w="567"/>
        <w:gridCol w:w="1076"/>
      </w:tblGrid>
      <w:tr w:rsidR="007671AA" w:rsidRPr="008641A9" w:rsidTr="00C24310">
        <w:tc>
          <w:tcPr>
            <w:tcW w:w="425" w:type="dxa"/>
            <w:vMerge w:val="restart"/>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N</w:t>
            </w:r>
          </w:p>
        </w:tc>
        <w:tc>
          <w:tcPr>
            <w:tcW w:w="2898" w:type="dxa"/>
            <w:vMerge w:val="restart"/>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Место нахождения нестационарного торгового объекта (адресный ориентир)</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Количество нестационарных торговых объектов по адресному ориентиру</w:t>
            </w:r>
          </w:p>
        </w:tc>
        <w:tc>
          <w:tcPr>
            <w:tcW w:w="5387" w:type="dxa"/>
            <w:gridSpan w:val="10"/>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Тип нестационарного торгового объекта</w:t>
            </w:r>
          </w:p>
        </w:tc>
        <w:tc>
          <w:tcPr>
            <w:tcW w:w="5586" w:type="dxa"/>
            <w:gridSpan w:val="9"/>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Группа товаров</w:t>
            </w:r>
          </w:p>
        </w:tc>
        <w:tc>
          <w:tcPr>
            <w:tcW w:w="1076" w:type="dxa"/>
            <w:vMerge w:val="restart"/>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Срок размещения нестационарного торгового объекта</w:t>
            </w:r>
          </w:p>
        </w:tc>
      </w:tr>
      <w:tr w:rsidR="007671AA" w:rsidRPr="008641A9" w:rsidTr="00894A95">
        <w:trPr>
          <w:cantSplit/>
          <w:trHeight w:val="2927"/>
        </w:trPr>
        <w:tc>
          <w:tcPr>
            <w:tcW w:w="425"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2898"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850"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Торговый павильон</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палатка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Киоск</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галерея</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Автомагазин (торговый автофургон, автолавка)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Торговый автомат (</w:t>
            </w:r>
            <w:proofErr w:type="spellStart"/>
            <w:r w:rsidRPr="008641A9">
              <w:t>вендинговый</w:t>
            </w:r>
            <w:proofErr w:type="spellEnd"/>
            <w:r w:rsidRPr="008641A9">
              <w:t xml:space="preserve"> автомат)</w:t>
            </w:r>
          </w:p>
        </w:tc>
        <w:tc>
          <w:tcPr>
            <w:tcW w:w="4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Автоцистерна</w:t>
            </w:r>
          </w:p>
        </w:tc>
        <w:tc>
          <w:tcPr>
            <w:tcW w:w="4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Бахчевой развал</w:t>
            </w:r>
          </w:p>
        </w:tc>
        <w:tc>
          <w:tcPr>
            <w:tcW w:w="426"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Елочный базар</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тележка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Мясо, мясная гастрономия</w:t>
            </w:r>
          </w:p>
        </w:tc>
        <w:tc>
          <w:tcPr>
            <w:tcW w:w="708"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Молоко, молочная продукция</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Рыба, рыбная продукция, морепродукты</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Овощи, фрукты и ягоды</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Хлеб, хлебобулочная продукция</w:t>
            </w:r>
          </w:p>
        </w:tc>
        <w:tc>
          <w:tcPr>
            <w:tcW w:w="6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Продукция общественного питания</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Товары народных художественных промыслов</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Печатная продукция</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Другая</w:t>
            </w:r>
          </w:p>
        </w:tc>
        <w:tc>
          <w:tcPr>
            <w:tcW w:w="1076"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p>
        </w:tc>
      </w:tr>
      <w:tr w:rsidR="007671AA" w:rsidRPr="008641A9" w:rsidTr="00894A95">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4</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5</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6</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7</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8</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9</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10</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11</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14</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15</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16</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17</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18</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19</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20</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21</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22</w:t>
            </w:r>
          </w:p>
        </w:tc>
        <w:tc>
          <w:tcPr>
            <w:tcW w:w="107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23</w:t>
            </w:r>
          </w:p>
        </w:tc>
      </w:tr>
      <w:tr w:rsidR="007671AA" w:rsidRPr="008641A9" w:rsidTr="00570BD4">
        <w:trPr>
          <w:cantSplit/>
          <w:trHeight w:val="855"/>
        </w:trPr>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Д. Большие Козлы, возле д. 17А</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3457BA" w:rsidP="00E23326">
            <w:pPr>
              <w:autoSpaceDE w:val="0"/>
              <w:autoSpaceDN w:val="0"/>
              <w:adjustRightInd w:val="0"/>
            </w:pPr>
            <w:r>
              <w:t>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3457BA" w:rsidP="00E23326">
            <w:pPr>
              <w:autoSpaceDE w:val="0"/>
              <w:autoSpaceDN w:val="0"/>
              <w:adjustRightInd w:val="0"/>
            </w:pPr>
            <w:r>
              <w:t>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1</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3457BA" w:rsidP="00E23326">
            <w:pPr>
              <w:autoSpaceDE w:val="0"/>
              <w:autoSpaceDN w:val="0"/>
              <w:adjustRightInd w:val="0"/>
            </w:pPr>
            <w:r>
              <w:t>-</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3457BA" w:rsidP="00570BD4">
            <w:pPr>
              <w:autoSpaceDE w:val="0"/>
              <w:autoSpaceDN w:val="0"/>
              <w:adjustRightInd w:val="0"/>
              <w:ind w:left="113" w:right="113"/>
            </w:pPr>
            <w:r>
              <w:t>Смешанная</w:t>
            </w:r>
          </w:p>
        </w:tc>
        <w:tc>
          <w:tcPr>
            <w:tcW w:w="1076" w:type="dxa"/>
            <w:tcBorders>
              <w:top w:val="single" w:sz="4" w:space="0" w:color="auto"/>
              <w:left w:val="single" w:sz="4" w:space="0" w:color="auto"/>
              <w:bottom w:val="single" w:sz="4" w:space="0" w:color="auto"/>
              <w:right w:val="single" w:sz="4" w:space="0" w:color="auto"/>
            </w:tcBorders>
          </w:tcPr>
          <w:p w:rsidR="007671AA" w:rsidRPr="008641A9" w:rsidRDefault="003457BA" w:rsidP="003457BA">
            <w:pPr>
              <w:autoSpaceDE w:val="0"/>
              <w:autoSpaceDN w:val="0"/>
              <w:adjustRightInd w:val="0"/>
            </w:pPr>
            <w:r>
              <w:t>до 01</w:t>
            </w:r>
            <w:r w:rsidR="003169DC">
              <w:t>.0</w:t>
            </w:r>
            <w:r>
              <w:t>8</w:t>
            </w:r>
            <w:r w:rsidR="003169DC">
              <w:t>.2025</w:t>
            </w:r>
          </w:p>
        </w:tc>
      </w:tr>
      <w:tr w:rsidR="007671AA" w:rsidRPr="008641A9" w:rsidTr="00894A95">
        <w:trPr>
          <w:cantSplit/>
          <w:trHeight w:val="833"/>
        </w:trPr>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w:t>
            </w: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Д. Будаково</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C24310">
            <w:pPr>
              <w:autoSpaceDE w:val="0"/>
              <w:autoSpaceDN w:val="0"/>
              <w:adjustRightInd w:val="0"/>
              <w:jc w:val="center"/>
            </w:pPr>
            <w:r>
              <w:t>-</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C24310" w:rsidP="00C24310">
            <w:pPr>
              <w:autoSpaceDE w:val="0"/>
              <w:autoSpaceDN w:val="0"/>
              <w:adjustRightInd w:val="0"/>
              <w:ind w:left="113" w:right="113"/>
              <w:jc w:val="center"/>
            </w:pPr>
            <w:r>
              <w:t>Смешенная</w:t>
            </w:r>
          </w:p>
        </w:tc>
        <w:tc>
          <w:tcPr>
            <w:tcW w:w="107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r>
      <w:tr w:rsidR="007671AA" w:rsidRPr="008641A9" w:rsidTr="00894A95">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r w:rsidRPr="008641A9">
              <w:t>ИТОГО</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2F704A" w:rsidP="00E23326">
            <w:pPr>
              <w:autoSpaceDE w:val="0"/>
              <w:autoSpaceDN w:val="0"/>
              <w:adjustRightInd w:val="0"/>
            </w:pPr>
            <w:r>
              <w:t>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2F704A" w:rsidP="00E23326">
            <w:pPr>
              <w:autoSpaceDE w:val="0"/>
              <w:autoSpaceDN w:val="0"/>
              <w:adjustRightInd w:val="0"/>
            </w:pPr>
            <w:r>
              <w:t>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2F704A" w:rsidP="00E23326">
            <w:pPr>
              <w:autoSpaceDE w:val="0"/>
              <w:autoSpaceDN w:val="0"/>
              <w:adjustRightInd w:val="0"/>
            </w:pPr>
            <w:r>
              <w:t>1</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570BD4" w:rsidP="00E23326">
            <w:pPr>
              <w:autoSpaceDE w:val="0"/>
              <w:autoSpaceDN w:val="0"/>
              <w:adjustRightInd w:val="0"/>
            </w:pPr>
            <w:r>
              <w:t>2</w:t>
            </w:r>
          </w:p>
        </w:tc>
        <w:tc>
          <w:tcPr>
            <w:tcW w:w="1076" w:type="dxa"/>
            <w:tcBorders>
              <w:top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r>
    </w:tbl>
    <w:p w:rsidR="007671AA" w:rsidRPr="00C24310" w:rsidRDefault="00C24310" w:rsidP="00C24310">
      <w:pPr>
        <w:autoSpaceDE w:val="0"/>
        <w:autoSpaceDN w:val="0"/>
        <w:adjustRightInd w:val="0"/>
        <w:jc w:val="both"/>
      </w:pPr>
      <w:r>
        <w:t>*-нестандартные торговые объекты субъектов малого и среднего предпринимательства</w:t>
      </w:r>
    </w:p>
    <w:p w:rsidR="005F701D" w:rsidRDefault="005F701D" w:rsidP="005F701D">
      <w:pPr>
        <w:jc w:val="both"/>
        <w:rPr>
          <w:b/>
          <w:sz w:val="28"/>
          <w:szCs w:val="28"/>
        </w:rPr>
        <w:sectPr w:rsidR="005F701D" w:rsidSect="00C24310">
          <w:pgSz w:w="16838" w:h="11906" w:orient="landscape"/>
          <w:pgMar w:top="850" w:right="1134" w:bottom="568" w:left="1134" w:header="708" w:footer="708" w:gutter="0"/>
          <w:cols w:space="708"/>
          <w:docGrid w:linePitch="360"/>
        </w:sectPr>
      </w:pPr>
    </w:p>
    <w:p w:rsidR="00F90C6A" w:rsidRPr="001C1670" w:rsidRDefault="00F90C6A" w:rsidP="00F90C6A">
      <w:pPr>
        <w:jc w:val="right"/>
        <w:rPr>
          <w:sz w:val="16"/>
          <w:szCs w:val="16"/>
        </w:rPr>
      </w:pPr>
      <w:r>
        <w:rPr>
          <w:sz w:val="16"/>
          <w:szCs w:val="16"/>
        </w:rPr>
        <w:lastRenderedPageBreak/>
        <w:t>Приложение № 2</w:t>
      </w:r>
    </w:p>
    <w:p w:rsidR="00F90C6A" w:rsidRPr="001C1670" w:rsidRDefault="00F90C6A" w:rsidP="00F90C6A">
      <w:pPr>
        <w:jc w:val="right"/>
        <w:rPr>
          <w:sz w:val="16"/>
          <w:szCs w:val="16"/>
        </w:rPr>
      </w:pPr>
      <w:r w:rsidRPr="001C1670">
        <w:rPr>
          <w:sz w:val="16"/>
          <w:szCs w:val="16"/>
        </w:rPr>
        <w:t xml:space="preserve">к решению Сельской Думы </w:t>
      </w:r>
    </w:p>
    <w:p w:rsidR="00F90C6A" w:rsidRPr="001C1670" w:rsidRDefault="00F90C6A" w:rsidP="00F90C6A">
      <w:pPr>
        <w:jc w:val="right"/>
        <w:rPr>
          <w:sz w:val="16"/>
          <w:szCs w:val="16"/>
        </w:rPr>
      </w:pPr>
      <w:r w:rsidRPr="001C1670">
        <w:rPr>
          <w:sz w:val="16"/>
          <w:szCs w:val="16"/>
        </w:rPr>
        <w:t xml:space="preserve">сельского поселения «Деревня Большие Козлы» </w:t>
      </w:r>
    </w:p>
    <w:p w:rsidR="00F90C6A" w:rsidRPr="001C1670" w:rsidRDefault="00F90C6A" w:rsidP="00F90C6A">
      <w:pPr>
        <w:jc w:val="right"/>
        <w:rPr>
          <w:sz w:val="16"/>
          <w:szCs w:val="16"/>
        </w:rPr>
      </w:pPr>
      <w:r w:rsidRPr="001C1670">
        <w:rPr>
          <w:sz w:val="16"/>
          <w:szCs w:val="16"/>
        </w:rPr>
        <w:t xml:space="preserve">«О внесении изменений в решение Сельской Думы </w:t>
      </w:r>
    </w:p>
    <w:p w:rsidR="00F90C6A" w:rsidRPr="001C1670" w:rsidRDefault="00F90C6A" w:rsidP="00F90C6A">
      <w:pPr>
        <w:jc w:val="right"/>
        <w:rPr>
          <w:sz w:val="16"/>
          <w:szCs w:val="16"/>
        </w:rPr>
      </w:pPr>
      <w:r w:rsidRPr="001C1670">
        <w:rPr>
          <w:sz w:val="16"/>
          <w:szCs w:val="16"/>
        </w:rPr>
        <w:t xml:space="preserve">сельского поселения от 07.10.2013 г. № 149 </w:t>
      </w:r>
    </w:p>
    <w:p w:rsidR="00F90C6A" w:rsidRPr="001C1670" w:rsidRDefault="00570BD4" w:rsidP="00F90C6A">
      <w:pPr>
        <w:jc w:val="right"/>
        <w:rPr>
          <w:sz w:val="16"/>
          <w:szCs w:val="16"/>
        </w:rPr>
      </w:pPr>
      <w:r w:rsidRPr="001C1670">
        <w:rPr>
          <w:sz w:val="16"/>
          <w:szCs w:val="16"/>
        </w:rPr>
        <w:t xml:space="preserve"> </w:t>
      </w:r>
      <w:r w:rsidR="00F90C6A" w:rsidRPr="001C1670">
        <w:rPr>
          <w:sz w:val="16"/>
          <w:szCs w:val="16"/>
        </w:rPr>
        <w:t xml:space="preserve">«О схеме и порядке размещения нестационарных </w:t>
      </w:r>
    </w:p>
    <w:p w:rsidR="00F90C6A" w:rsidRPr="001C1670" w:rsidRDefault="00F90C6A" w:rsidP="00F90C6A">
      <w:pPr>
        <w:jc w:val="right"/>
        <w:rPr>
          <w:sz w:val="16"/>
          <w:szCs w:val="16"/>
        </w:rPr>
      </w:pPr>
      <w:r w:rsidRPr="001C1670">
        <w:rPr>
          <w:sz w:val="16"/>
          <w:szCs w:val="16"/>
        </w:rPr>
        <w:t xml:space="preserve">объектов на территории сельского поселения </w:t>
      </w:r>
    </w:p>
    <w:p w:rsidR="00F90C6A" w:rsidRDefault="00F90C6A" w:rsidP="00F90C6A">
      <w:pPr>
        <w:jc w:val="right"/>
        <w:rPr>
          <w:sz w:val="16"/>
          <w:szCs w:val="16"/>
        </w:rPr>
      </w:pPr>
      <w:r w:rsidRPr="001C1670">
        <w:rPr>
          <w:sz w:val="16"/>
          <w:szCs w:val="16"/>
        </w:rPr>
        <w:t xml:space="preserve">«Деревня Большие Козлы» от </w:t>
      </w:r>
      <w:r w:rsidR="00570BD4">
        <w:rPr>
          <w:sz w:val="16"/>
          <w:szCs w:val="16"/>
        </w:rPr>
        <w:t>23.12</w:t>
      </w:r>
      <w:r w:rsidRPr="003C2343">
        <w:rPr>
          <w:sz w:val="16"/>
          <w:szCs w:val="16"/>
        </w:rPr>
        <w:t>.202</w:t>
      </w:r>
      <w:r>
        <w:rPr>
          <w:sz w:val="16"/>
          <w:szCs w:val="16"/>
        </w:rPr>
        <w:t>4</w:t>
      </w:r>
      <w:r w:rsidRPr="003C2343">
        <w:rPr>
          <w:sz w:val="16"/>
          <w:szCs w:val="16"/>
        </w:rPr>
        <w:t>г.</w:t>
      </w:r>
      <w:r>
        <w:rPr>
          <w:sz w:val="16"/>
          <w:szCs w:val="16"/>
        </w:rPr>
        <w:t xml:space="preserve"> </w:t>
      </w:r>
      <w:r w:rsidRPr="001C1670">
        <w:rPr>
          <w:sz w:val="16"/>
          <w:szCs w:val="16"/>
        </w:rPr>
        <w:t>№</w:t>
      </w:r>
      <w:r w:rsidR="002E4D58">
        <w:rPr>
          <w:sz w:val="16"/>
          <w:szCs w:val="16"/>
        </w:rPr>
        <w:t xml:space="preserve"> 158</w:t>
      </w:r>
      <w:bookmarkStart w:id="0" w:name="_GoBack"/>
      <w:bookmarkEnd w:id="0"/>
    </w:p>
    <w:p w:rsidR="00F90C6A" w:rsidRDefault="00F90C6A" w:rsidP="00F90C6A">
      <w:pPr>
        <w:spacing w:line="224" w:lineRule="auto"/>
        <w:ind w:left="408" w:right="163" w:firstLine="124"/>
        <w:rPr>
          <w:sz w:val="30"/>
        </w:rPr>
      </w:pPr>
    </w:p>
    <w:p w:rsidR="00F90C6A" w:rsidRPr="00570BD4" w:rsidRDefault="00F90C6A" w:rsidP="00F90C6A">
      <w:pPr>
        <w:spacing w:line="224" w:lineRule="auto"/>
        <w:ind w:left="408" w:right="163" w:firstLine="124"/>
        <w:jc w:val="center"/>
        <w:rPr>
          <w:b/>
          <w:sz w:val="24"/>
          <w:szCs w:val="24"/>
        </w:rPr>
      </w:pPr>
      <w:r w:rsidRPr="00570BD4">
        <w:rPr>
          <w:b/>
          <w:sz w:val="24"/>
          <w:szCs w:val="24"/>
        </w:rPr>
        <w:t>Порядок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сельского поселения «Деревня Большие Козлы»</w:t>
      </w:r>
    </w:p>
    <w:p w:rsidR="00F90C6A" w:rsidRPr="00570BD4" w:rsidRDefault="00F90C6A" w:rsidP="00F90C6A">
      <w:pPr>
        <w:spacing w:line="224" w:lineRule="auto"/>
        <w:ind w:left="408" w:right="163" w:firstLine="124"/>
        <w:jc w:val="center"/>
        <w:rPr>
          <w:sz w:val="24"/>
          <w:szCs w:val="24"/>
        </w:rPr>
      </w:pPr>
    </w:p>
    <w:p w:rsidR="00F90C6A" w:rsidRPr="00570BD4" w:rsidRDefault="00F90C6A" w:rsidP="00F90C6A">
      <w:pPr>
        <w:pStyle w:val="a5"/>
        <w:numPr>
          <w:ilvl w:val="0"/>
          <w:numId w:val="6"/>
        </w:numPr>
        <w:spacing w:line="224" w:lineRule="auto"/>
        <w:ind w:left="0" w:right="163" w:firstLine="426"/>
        <w:jc w:val="both"/>
        <w:rPr>
          <w:sz w:val="24"/>
          <w:szCs w:val="24"/>
        </w:rPr>
      </w:pPr>
      <w:r w:rsidRPr="00570BD4">
        <w:rPr>
          <w:sz w:val="24"/>
          <w:szCs w:val="24"/>
        </w:rPr>
        <w:t>Основными критериями для согласования размещения нестационарных торговых объектов являются:</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жителей сельского поселения товарами первой необходимости в пределах шаговой доступности;</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беспрепятственного движения транспорта и пешеходов;</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предотвращение нарушения внешнего облика сельского поселения и благоустройства территории объектами мелкорозничной торговли.</w:t>
      </w:r>
    </w:p>
    <w:p w:rsidR="00F90C6A" w:rsidRPr="00570BD4" w:rsidRDefault="00F90C6A" w:rsidP="00F90C6A">
      <w:pPr>
        <w:pStyle w:val="a5"/>
        <w:numPr>
          <w:ilvl w:val="0"/>
          <w:numId w:val="6"/>
        </w:numPr>
        <w:ind w:left="0" w:firstLine="426"/>
        <w:jc w:val="both"/>
        <w:rPr>
          <w:sz w:val="24"/>
          <w:szCs w:val="24"/>
        </w:rPr>
      </w:pPr>
      <w:r w:rsidRPr="00570BD4">
        <w:rPr>
          <w:sz w:val="24"/>
          <w:szCs w:val="24"/>
        </w:rPr>
        <w:t xml:space="preserve"> В схему включаются объекты мелкорозничной торговли, деятельность которых осуществляют:</w:t>
      </w:r>
    </w:p>
    <w:p w:rsidR="00F90C6A" w:rsidRPr="00570BD4" w:rsidRDefault="00F90C6A" w:rsidP="00F90C6A">
      <w:pPr>
        <w:numPr>
          <w:ilvl w:val="0"/>
          <w:numId w:val="4"/>
        </w:numPr>
        <w:spacing w:after="7" w:line="244" w:lineRule="auto"/>
        <w:ind w:left="0" w:right="206" w:firstLine="426"/>
        <w:jc w:val="both"/>
        <w:rPr>
          <w:sz w:val="24"/>
          <w:szCs w:val="24"/>
        </w:rPr>
      </w:pPr>
      <w:r w:rsidRPr="00570BD4">
        <w:rPr>
          <w:sz w:val="24"/>
          <w:szCs w:val="24"/>
        </w:rPr>
        <w:t>организации - юридические лица;</w:t>
      </w:r>
    </w:p>
    <w:p w:rsidR="00F90C6A" w:rsidRPr="00570BD4" w:rsidRDefault="00F90C6A" w:rsidP="00F90C6A">
      <w:pPr>
        <w:numPr>
          <w:ilvl w:val="0"/>
          <w:numId w:val="4"/>
        </w:numPr>
        <w:spacing w:after="315" w:line="244" w:lineRule="auto"/>
        <w:ind w:left="0" w:right="206" w:firstLine="426"/>
        <w:jc w:val="both"/>
        <w:rPr>
          <w:sz w:val="24"/>
          <w:szCs w:val="24"/>
        </w:rPr>
      </w:pPr>
      <w:r w:rsidRPr="00570BD4">
        <w:rPr>
          <w:sz w:val="24"/>
          <w:szCs w:val="24"/>
        </w:rPr>
        <w:t>индивидуальные предприниматели граждане, осуществляющие предпринимательскую деятельностью без образования юридического лица.</w:t>
      </w:r>
    </w:p>
    <w:p w:rsidR="00F90C6A" w:rsidRPr="00570BD4" w:rsidRDefault="00F90C6A" w:rsidP="00F90C6A">
      <w:pPr>
        <w:pStyle w:val="a5"/>
        <w:numPr>
          <w:ilvl w:val="0"/>
          <w:numId w:val="6"/>
        </w:numPr>
        <w:spacing w:before="100" w:beforeAutospacing="1" w:after="100" w:afterAutospacing="1" w:line="238" w:lineRule="auto"/>
        <w:ind w:left="0" w:right="204" w:firstLine="425"/>
        <w:jc w:val="both"/>
        <w:rPr>
          <w:sz w:val="24"/>
          <w:szCs w:val="24"/>
        </w:rPr>
      </w:pPr>
      <w:r w:rsidRPr="00570BD4">
        <w:rPr>
          <w:sz w:val="24"/>
          <w:szCs w:val="24"/>
        </w:rPr>
        <w:t>К нестационарным торговым объектам относятся: автомагазин (торговый автофургон, автолавка), автоцистерна, бахчевой развал, елочный базар, киоск, лоток, павильон, палатка, тележка, торговая галерея, торговый автомат (</w:t>
      </w:r>
      <w:proofErr w:type="spellStart"/>
      <w:r w:rsidRPr="00570BD4">
        <w:rPr>
          <w:sz w:val="24"/>
          <w:szCs w:val="24"/>
        </w:rPr>
        <w:t>вендинговый</w:t>
      </w:r>
      <w:proofErr w:type="spellEnd"/>
      <w:r w:rsidRPr="00570BD4">
        <w:rPr>
          <w:sz w:val="24"/>
          <w:szCs w:val="24"/>
        </w:rPr>
        <w:t xml:space="preserve"> автомат) и иные сооружения и конструкции.</w:t>
      </w:r>
    </w:p>
    <w:p w:rsidR="00F90C6A" w:rsidRPr="00570BD4" w:rsidRDefault="00F90C6A" w:rsidP="00F90C6A">
      <w:pPr>
        <w:spacing w:before="100" w:beforeAutospacing="1" w:after="100" w:afterAutospacing="1" w:line="244" w:lineRule="auto"/>
        <w:ind w:right="204" w:firstLine="425"/>
        <w:jc w:val="both"/>
        <w:rPr>
          <w:sz w:val="24"/>
          <w:szCs w:val="24"/>
        </w:rPr>
      </w:pPr>
      <w:r w:rsidRPr="00570BD4">
        <w:rPr>
          <w:sz w:val="24"/>
          <w:szCs w:val="24"/>
        </w:rPr>
        <w:t>3.1 Автомагазин (торговый автофургон, автолавка)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570BD4">
        <w:rPr>
          <w:sz w:val="24"/>
          <w:szCs w:val="24"/>
        </w:rPr>
        <w:t>ых</w:t>
      </w:r>
      <w:proofErr w:type="spellEnd"/>
      <w:r w:rsidRPr="00570BD4">
        <w:rPr>
          <w:sz w:val="24"/>
          <w:szCs w:val="24"/>
        </w:rPr>
        <w:t>) осуществляют предложение товаров, их отпуск и расчет с покупателями;</w:t>
      </w:r>
    </w:p>
    <w:p w:rsidR="00F90C6A" w:rsidRPr="00570BD4" w:rsidRDefault="00F90C6A" w:rsidP="00F90C6A">
      <w:pPr>
        <w:spacing w:after="287" w:line="244" w:lineRule="auto"/>
        <w:ind w:right="206" w:firstLine="426"/>
        <w:jc w:val="both"/>
        <w:rPr>
          <w:sz w:val="24"/>
          <w:szCs w:val="24"/>
        </w:rPr>
      </w:pPr>
      <w:r w:rsidRPr="00570BD4">
        <w:rPr>
          <w:sz w:val="24"/>
          <w:szCs w:val="24"/>
        </w:rPr>
        <w:t>3.2. Автоцистерна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F90C6A" w:rsidRPr="00570BD4" w:rsidRDefault="00F90C6A" w:rsidP="00F90C6A">
      <w:pPr>
        <w:spacing w:after="287" w:line="244" w:lineRule="auto"/>
        <w:ind w:right="206" w:firstLine="426"/>
        <w:jc w:val="both"/>
        <w:rPr>
          <w:sz w:val="24"/>
          <w:szCs w:val="24"/>
        </w:rPr>
      </w:pPr>
      <w:r w:rsidRPr="00570BD4">
        <w:rPr>
          <w:sz w:val="24"/>
          <w:szCs w:val="24"/>
        </w:rPr>
        <w:t>3.3.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lastRenderedPageBreak/>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Лоток - нестационарный торговый объект, не имеющий торгового зала и помещения для хранения товаров, представляющий собой легковозводимую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Торговый павильон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70BD4">
        <w:rPr>
          <w:sz w:val="24"/>
          <w:szCs w:val="24"/>
        </w:rPr>
        <w:t>светопрозрачной</w:t>
      </w:r>
      <w:proofErr w:type="spellEnd"/>
      <w:r w:rsidRPr="00570BD4">
        <w:rPr>
          <w:sz w:val="24"/>
          <w:szCs w:val="24"/>
        </w:rPr>
        <w:t xml:space="preserve"> кровлей, не несущей теплоизоляционную функцию;</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Торговый автомат (</w:t>
      </w:r>
      <w:proofErr w:type="spellStart"/>
      <w:r w:rsidRPr="00570BD4">
        <w:rPr>
          <w:sz w:val="24"/>
          <w:szCs w:val="24"/>
        </w:rPr>
        <w:t>вендинговый</w:t>
      </w:r>
      <w:proofErr w:type="spellEnd"/>
      <w:r w:rsidRPr="00570BD4">
        <w:rPr>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Автомагазин (торговый автофургон, автолавка), автоцистерна, лоток, палатка, тележка являются нестационарными передвижными торговыми объектами.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Иные объекты и специальные приспособления — нестационарные торговые объекты, предназначенные для продажи товаров.</w:t>
      </w:r>
    </w:p>
    <w:p w:rsidR="00F90C6A" w:rsidRPr="00570BD4" w:rsidRDefault="00F90C6A" w:rsidP="00F90C6A">
      <w:pPr>
        <w:pStyle w:val="a5"/>
        <w:numPr>
          <w:ilvl w:val="0"/>
          <w:numId w:val="5"/>
        </w:numPr>
        <w:spacing w:after="7" w:line="244" w:lineRule="auto"/>
        <w:ind w:right="283" w:firstLine="426"/>
        <w:jc w:val="both"/>
        <w:rPr>
          <w:sz w:val="24"/>
          <w:szCs w:val="24"/>
        </w:rPr>
      </w:pPr>
      <w:r w:rsidRPr="00570BD4">
        <w:rPr>
          <w:sz w:val="24"/>
          <w:szCs w:val="24"/>
        </w:rPr>
        <w:t>При размещении и эксплуатации нестационарного торгового объекта на земельных участках, в зданиях, строениях, сооружениях, находящихся в государственной или муниципальной собственности, хозяйствующий субъект (собственник нестационарного торгового объекта) обязан:</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Соблюдать правила пожарной безопасности согласно Федеральному закону от 22.07.2008 № 123-ФЗ «Технический регламент о требованиях пожарной безопасности»;</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bCs/>
          <w:sz w:val="24"/>
          <w:szCs w:val="24"/>
        </w:rPr>
        <w:t>Соблюдать санитарно-эпидемиологические правила СП 2.3.6.3668-20</w:t>
      </w:r>
      <w:r w:rsidRPr="00570BD4">
        <w:rPr>
          <w:sz w:val="24"/>
          <w:szCs w:val="24"/>
        </w:rPr>
        <w:t>;</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Производить изменение конструкций или цветового решения наружной отделки временных сооружений по согласованию с администрацией (исполнительно-распорядительный орган) сельского поселения «Деревня Большие Козлы»;</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Выполнять требования по содержанию и благоустройству нестационарного торгового объекта, места его размещения и прилегающей территории согласно Правилам благоустройства территорий сельского поселения «Деревня Большие Козлы»;</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lastRenderedPageBreak/>
        <w:t>Выполнять требования положений действующего федерального законодательства, регламентирующих вопросы безопасности дорожного движения, и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 и подвозе товаров к объектам (Правила дорожного движения, Основные положения по допуску транспортных средств к эксплуатации и обязанности должностных лиц по обеспечению безопасности дорожного движения и др.).</w:t>
      </w:r>
    </w:p>
    <w:p w:rsidR="00F90C6A" w:rsidRPr="00570BD4" w:rsidRDefault="00F90C6A" w:rsidP="00F90C6A">
      <w:pPr>
        <w:pStyle w:val="a5"/>
        <w:numPr>
          <w:ilvl w:val="0"/>
          <w:numId w:val="5"/>
        </w:numPr>
        <w:spacing w:after="7" w:line="244" w:lineRule="auto"/>
        <w:ind w:right="283" w:firstLine="426"/>
        <w:jc w:val="both"/>
        <w:rPr>
          <w:sz w:val="24"/>
          <w:szCs w:val="24"/>
        </w:rPr>
      </w:pPr>
      <w:r w:rsidRPr="00570BD4">
        <w:rPr>
          <w:sz w:val="24"/>
          <w:szCs w:val="24"/>
        </w:rPr>
        <w:t>При размещении нестационарного торгового объекта на арендованных земельных участках, в зданиях, строениях, сооружениях, а также в зданиях, закрепленных за муниципальными предприятиями и муниципальными учреждениями, в администрацию (исполнительно-распорядительный орган) муниципального района «Перемышльский район» представляется для согласования соответствующих договоров подтверждение соответствия нестационарного торгового объекта типу и адресному ориентиру.</w:t>
      </w:r>
    </w:p>
    <w:p w:rsidR="00F90C6A" w:rsidRPr="00570BD4" w:rsidRDefault="00F90C6A" w:rsidP="00F90C6A">
      <w:pPr>
        <w:pStyle w:val="a5"/>
        <w:numPr>
          <w:ilvl w:val="1"/>
          <w:numId w:val="5"/>
        </w:numPr>
        <w:ind w:left="0" w:right="283" w:firstLine="426"/>
        <w:jc w:val="both"/>
        <w:rPr>
          <w:sz w:val="24"/>
          <w:szCs w:val="24"/>
        </w:rPr>
      </w:pPr>
      <w:r w:rsidRPr="00570BD4">
        <w:rPr>
          <w:sz w:val="24"/>
          <w:szCs w:val="24"/>
        </w:rPr>
        <w:t xml:space="preserve"> Размещение нестационарных торговых объектов должно предусматривать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90C6A" w:rsidRPr="00894A95" w:rsidRDefault="00F90C6A" w:rsidP="00F90C6A">
      <w:pPr>
        <w:rPr>
          <w:sz w:val="26"/>
          <w:szCs w:val="26"/>
        </w:rPr>
      </w:pPr>
    </w:p>
    <w:p w:rsidR="00E564C9" w:rsidRPr="00894A95" w:rsidRDefault="00E564C9" w:rsidP="003169DC">
      <w:pPr>
        <w:rPr>
          <w:sz w:val="26"/>
          <w:szCs w:val="26"/>
        </w:rPr>
      </w:pPr>
    </w:p>
    <w:sectPr w:rsidR="00E564C9" w:rsidRPr="00894A95" w:rsidSect="00894A95">
      <w:pgSz w:w="11904" w:h="16838"/>
      <w:pgMar w:top="1066" w:right="847" w:bottom="6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B35A2"/>
    <w:multiLevelType w:val="multilevel"/>
    <w:tmpl w:val="9A900CF4"/>
    <w:lvl w:ilvl="0">
      <w:start w:val="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D82E34"/>
    <w:multiLevelType w:val="multilevel"/>
    <w:tmpl w:val="9A900CF4"/>
    <w:lvl w:ilvl="0">
      <w:start w:val="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CC45EB"/>
    <w:multiLevelType w:val="hybridMultilevel"/>
    <w:tmpl w:val="10BC5F8C"/>
    <w:lvl w:ilvl="0" w:tplc="D160E9A4">
      <w:start w:val="1"/>
      <w:numFmt w:val="bullet"/>
      <w:lvlText w:val="-"/>
      <w:lvlJc w:val="left"/>
      <w:pPr>
        <w:ind w:left="3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B46EEAC">
      <w:start w:val="1"/>
      <w:numFmt w:val="bullet"/>
      <w:lvlText w:val="o"/>
      <w:lvlJc w:val="left"/>
      <w:pPr>
        <w:ind w:left="16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EB26388">
      <w:start w:val="1"/>
      <w:numFmt w:val="bullet"/>
      <w:lvlText w:val="▪"/>
      <w:lvlJc w:val="left"/>
      <w:pPr>
        <w:ind w:left="2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1564648">
      <w:start w:val="1"/>
      <w:numFmt w:val="bullet"/>
      <w:lvlText w:val="•"/>
      <w:lvlJc w:val="left"/>
      <w:pPr>
        <w:ind w:left="3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4A8FA0">
      <w:start w:val="1"/>
      <w:numFmt w:val="bullet"/>
      <w:lvlText w:val="o"/>
      <w:lvlJc w:val="left"/>
      <w:pPr>
        <w:ind w:left="3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8C80CBC">
      <w:start w:val="1"/>
      <w:numFmt w:val="bullet"/>
      <w:lvlText w:val="▪"/>
      <w:lvlJc w:val="left"/>
      <w:pPr>
        <w:ind w:left="4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154C156">
      <w:start w:val="1"/>
      <w:numFmt w:val="bullet"/>
      <w:lvlText w:val="•"/>
      <w:lvlJc w:val="left"/>
      <w:pPr>
        <w:ind w:left="5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7787EEE">
      <w:start w:val="1"/>
      <w:numFmt w:val="bullet"/>
      <w:lvlText w:val="o"/>
      <w:lvlJc w:val="left"/>
      <w:pPr>
        <w:ind w:left="5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0EAEEE8">
      <w:start w:val="1"/>
      <w:numFmt w:val="bullet"/>
      <w:lvlText w:val="▪"/>
      <w:lvlJc w:val="left"/>
      <w:pPr>
        <w:ind w:left="6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7A53626"/>
    <w:multiLevelType w:val="hybridMultilevel"/>
    <w:tmpl w:val="1FFC573C"/>
    <w:lvl w:ilvl="0" w:tplc="1048FCBE">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ACB5A">
      <w:start w:val="1"/>
      <w:numFmt w:val="lowerLetter"/>
      <w:lvlText w:val="%2"/>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748438">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4D8E2">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A2B30">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C531E">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D6D3D0">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A9A5C">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1CB5F8">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133C6A"/>
    <w:multiLevelType w:val="multilevel"/>
    <w:tmpl w:val="851AA6E6"/>
    <w:lvl w:ilvl="0">
      <w:start w:val="1"/>
      <w:numFmt w:val="decimal"/>
      <w:lvlText w:val="%1."/>
      <w:lvlJc w:val="left"/>
      <w:pPr>
        <w:ind w:left="768" w:hanging="360"/>
      </w:pPr>
      <w:rPr>
        <w:rFonts w:hint="default"/>
      </w:rPr>
    </w:lvl>
    <w:lvl w:ilvl="1">
      <w:start w:val="5"/>
      <w:numFmt w:val="decimal"/>
      <w:isLgl/>
      <w:lvlText w:val="%1.%2"/>
      <w:lvlJc w:val="left"/>
      <w:pPr>
        <w:ind w:left="768"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5" w15:restartNumberingAfterBreak="0">
    <w:nsid w:val="506A4202"/>
    <w:multiLevelType w:val="multilevel"/>
    <w:tmpl w:val="B8D8A812"/>
    <w:lvl w:ilvl="0">
      <w:start w:val="1"/>
      <w:numFmt w:val="decimal"/>
      <w:lvlText w:val="%1."/>
      <w:lvlJc w:val="left"/>
      <w:pPr>
        <w:ind w:left="1132" w:hanging="360"/>
      </w:pPr>
      <w:rPr>
        <w:rFonts w:hint="default"/>
        <w:sz w:val="26"/>
      </w:rPr>
    </w:lvl>
    <w:lvl w:ilvl="1">
      <w:start w:val="1"/>
      <w:numFmt w:val="decimal"/>
      <w:isLgl/>
      <w:lvlText w:val="%1.%2."/>
      <w:lvlJc w:val="left"/>
      <w:pPr>
        <w:ind w:left="1222" w:hanging="45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492"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852" w:hanging="1080"/>
      </w:pPr>
      <w:rPr>
        <w:rFonts w:hint="default"/>
      </w:rPr>
    </w:lvl>
    <w:lvl w:ilvl="6">
      <w:start w:val="1"/>
      <w:numFmt w:val="decimal"/>
      <w:isLgl/>
      <w:lvlText w:val="%1.%2.%3.%4.%5.%6.%7."/>
      <w:lvlJc w:val="left"/>
      <w:pPr>
        <w:ind w:left="1852" w:hanging="1080"/>
      </w:pPr>
      <w:rPr>
        <w:rFonts w:hint="default"/>
      </w:rPr>
    </w:lvl>
    <w:lvl w:ilvl="7">
      <w:start w:val="1"/>
      <w:numFmt w:val="decimal"/>
      <w:isLgl/>
      <w:lvlText w:val="%1.%2.%3.%4.%5.%6.%7.%8."/>
      <w:lvlJc w:val="left"/>
      <w:pPr>
        <w:ind w:left="2212" w:hanging="1440"/>
      </w:pPr>
      <w:rPr>
        <w:rFonts w:hint="default"/>
      </w:rPr>
    </w:lvl>
    <w:lvl w:ilvl="8">
      <w:start w:val="1"/>
      <w:numFmt w:val="decimal"/>
      <w:isLgl/>
      <w:lvlText w:val="%1.%2.%3.%4.%5.%6.%7.%8.%9."/>
      <w:lvlJc w:val="left"/>
      <w:pPr>
        <w:ind w:left="2212" w:hanging="1440"/>
      </w:pPr>
      <w:rPr>
        <w:rFonts w:hint="default"/>
      </w:rPr>
    </w:lvl>
  </w:abstractNum>
  <w:abstractNum w:abstractNumId="6" w15:restartNumberingAfterBreak="0">
    <w:nsid w:val="5D2235B1"/>
    <w:multiLevelType w:val="multilevel"/>
    <w:tmpl w:val="2DAEE7E2"/>
    <w:lvl w:ilvl="0">
      <w:start w:val="3"/>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360E80"/>
    <w:multiLevelType w:val="multilevel"/>
    <w:tmpl w:val="DE82AE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942B0D"/>
    <w:multiLevelType w:val="multilevel"/>
    <w:tmpl w:val="BBC28B1A"/>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EF55C1"/>
    <w:multiLevelType w:val="hybridMultilevel"/>
    <w:tmpl w:val="0D42FDD6"/>
    <w:lvl w:ilvl="0" w:tplc="AC9EB26E">
      <w:start w:val="1"/>
      <w:numFmt w:val="bullet"/>
      <w:lvlText w:val="-"/>
      <w:lvlJc w:val="left"/>
      <w:pPr>
        <w:ind w:left="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340F9EE">
      <w:start w:val="1"/>
      <w:numFmt w:val="bullet"/>
      <w:lvlText w:val="o"/>
      <w:lvlJc w:val="left"/>
      <w:pPr>
        <w:ind w:left="16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7D82B66">
      <w:start w:val="1"/>
      <w:numFmt w:val="bullet"/>
      <w:lvlText w:val="▪"/>
      <w:lvlJc w:val="left"/>
      <w:pPr>
        <w:ind w:left="2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8121CD4">
      <w:start w:val="1"/>
      <w:numFmt w:val="bullet"/>
      <w:lvlText w:val="•"/>
      <w:lvlJc w:val="left"/>
      <w:pPr>
        <w:ind w:left="3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A12E810">
      <w:start w:val="1"/>
      <w:numFmt w:val="bullet"/>
      <w:lvlText w:val="o"/>
      <w:lvlJc w:val="left"/>
      <w:pPr>
        <w:ind w:left="3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E7E94B6">
      <w:start w:val="1"/>
      <w:numFmt w:val="bullet"/>
      <w:lvlText w:val="▪"/>
      <w:lvlJc w:val="left"/>
      <w:pPr>
        <w:ind w:left="4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36CE4B2">
      <w:start w:val="1"/>
      <w:numFmt w:val="bullet"/>
      <w:lvlText w:val="•"/>
      <w:lvlJc w:val="left"/>
      <w:pPr>
        <w:ind w:left="5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D74FC4A">
      <w:start w:val="1"/>
      <w:numFmt w:val="bullet"/>
      <w:lvlText w:val="o"/>
      <w:lvlJc w:val="left"/>
      <w:pPr>
        <w:ind w:left="5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578A250">
      <w:start w:val="1"/>
      <w:numFmt w:val="bullet"/>
      <w:lvlText w:val="▪"/>
      <w:lvlJc w:val="left"/>
      <w:pPr>
        <w:ind w:left="6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9"/>
  </w:num>
  <w:num w:numId="5">
    <w:abstractNumId w:val="0"/>
  </w:num>
  <w:num w:numId="6">
    <w:abstractNumId w:val="4"/>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D6"/>
    <w:rsid w:val="000337D6"/>
    <w:rsid w:val="000C2422"/>
    <w:rsid w:val="00227E06"/>
    <w:rsid w:val="00260564"/>
    <w:rsid w:val="002E4D58"/>
    <w:rsid w:val="002F704A"/>
    <w:rsid w:val="003169DC"/>
    <w:rsid w:val="003457BA"/>
    <w:rsid w:val="003C2343"/>
    <w:rsid w:val="00436304"/>
    <w:rsid w:val="00570BD4"/>
    <w:rsid w:val="005F701D"/>
    <w:rsid w:val="007671AA"/>
    <w:rsid w:val="00894A95"/>
    <w:rsid w:val="00B97B4D"/>
    <w:rsid w:val="00C24310"/>
    <w:rsid w:val="00E564C9"/>
    <w:rsid w:val="00F57162"/>
    <w:rsid w:val="00F9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A4C96-A43D-4DE5-960B-A0D60A0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01D"/>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894A95"/>
    <w:pPr>
      <w:keepNext/>
      <w:keepLines/>
      <w:spacing w:after="309"/>
      <w:ind w:left="235"/>
      <w:jc w:val="center"/>
      <w:outlineLvl w:val="0"/>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701D"/>
    <w:pPr>
      <w:jc w:val="center"/>
    </w:pPr>
    <w:rPr>
      <w:b/>
      <w:sz w:val="36"/>
    </w:rPr>
  </w:style>
  <w:style w:type="character" w:customStyle="1" w:styleId="a4">
    <w:name w:val="Название Знак"/>
    <w:basedOn w:val="a0"/>
    <w:link w:val="a3"/>
    <w:rsid w:val="005F701D"/>
    <w:rPr>
      <w:rFonts w:ascii="Times New Roman" w:eastAsia="Times New Roman" w:hAnsi="Times New Roman" w:cs="Times New Roman"/>
      <w:b/>
      <w:sz w:val="36"/>
      <w:szCs w:val="20"/>
      <w:lang w:eastAsia="ru-RU"/>
    </w:rPr>
  </w:style>
  <w:style w:type="paragraph" w:styleId="a5">
    <w:name w:val="List Paragraph"/>
    <w:basedOn w:val="a"/>
    <w:uiPriority w:val="34"/>
    <w:qFormat/>
    <w:rsid w:val="007671AA"/>
    <w:pPr>
      <w:ind w:left="720"/>
      <w:contextualSpacing/>
    </w:pPr>
  </w:style>
  <w:style w:type="character" w:customStyle="1" w:styleId="10">
    <w:name w:val="Заголовок 1 Знак"/>
    <w:basedOn w:val="a0"/>
    <w:link w:val="1"/>
    <w:uiPriority w:val="9"/>
    <w:rsid w:val="00894A95"/>
    <w:rPr>
      <w:rFonts w:ascii="Times New Roman" w:eastAsia="Times New Roman" w:hAnsi="Times New Roman" w:cs="Times New Roman"/>
      <w:color w:val="000000"/>
      <w:sz w:val="32"/>
      <w:lang w:val="en-US"/>
    </w:rPr>
  </w:style>
  <w:style w:type="paragraph" w:styleId="a6">
    <w:name w:val="Balloon Text"/>
    <w:basedOn w:val="a"/>
    <w:link w:val="a7"/>
    <w:uiPriority w:val="99"/>
    <w:semiHidden/>
    <w:unhideWhenUsed/>
    <w:rsid w:val="00260564"/>
    <w:rPr>
      <w:rFonts w:ascii="Segoe UI" w:hAnsi="Segoe UI" w:cs="Segoe UI"/>
      <w:sz w:val="18"/>
      <w:szCs w:val="18"/>
    </w:rPr>
  </w:style>
  <w:style w:type="character" w:customStyle="1" w:styleId="a7">
    <w:name w:val="Текст выноски Знак"/>
    <w:basedOn w:val="a0"/>
    <w:link w:val="a6"/>
    <w:uiPriority w:val="99"/>
    <w:semiHidden/>
    <w:rsid w:val="002605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Большие Козлы</dc:creator>
  <cp:keywords/>
  <dc:description/>
  <cp:lastModifiedBy>Большие Козлы</cp:lastModifiedBy>
  <cp:revision>5</cp:revision>
  <cp:lastPrinted>2024-01-30T08:45:00Z</cp:lastPrinted>
  <dcterms:created xsi:type="dcterms:W3CDTF">2024-12-18T05:57:00Z</dcterms:created>
  <dcterms:modified xsi:type="dcterms:W3CDTF">2024-12-20T07:51:00Z</dcterms:modified>
</cp:coreProperties>
</file>