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>
      <w:pPr>
        <w:pStyle w:val="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>
      <w:pPr>
        <w:pStyle w:val="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ПОГОРЕЛОВКА»</w:t>
      </w:r>
    </w:p>
    <w:p>
      <w:pPr>
        <w:pStyle w:val="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«20» ноября 2023 г.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110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Губернатора Калужской области  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индексов изменения размера вносимой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 платы за коммунальные услуги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муниципальных образованиях Калужской</w:t>
      </w:r>
    </w:p>
    <w:p>
      <w:pPr>
        <w:pStyle w:val="6"/>
        <w:spacing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области на период с 1 января 2024 года по 2028 год»</w:t>
      </w:r>
    </w:p>
    <w:p>
      <w:pPr>
        <w:pStyle w:val="6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pStyle w:val="6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r>
        <w:fldChar w:fldCharType="begin"/>
      </w:r>
      <w:r>
        <w:instrText xml:space="preserve"> HYPERLINK "consultantplus://offline/ref=25B51E82259FD95D096E0576AD47F4D1FF6613D50CF424AB6307E3BF8D28DE88C9C36122B6140899E2a6O"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r>
        <w:fldChar w:fldCharType="begin"/>
      </w:r>
      <w:r>
        <w:instrText xml:space="preserve"> HYPERLINK "consultantplus://offline/ref=25B51E82259FD95D096E1B7BBB2BAADFF96545DB03F52DF93758B8E2DA21D4DF8E8C3860F2190898209952E2aAO"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Погореловка» Сельская Дума РЕШИЛА:</w:t>
      </w:r>
    </w:p>
    <w:p>
      <w:pPr>
        <w:pStyle w:val="6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(далее – Проект) для сельского поселения «Деревня Погореловка» :</w:t>
      </w:r>
    </w:p>
    <w:p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к Проекту в размере:</w:t>
      </w:r>
    </w:p>
    <w:p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 01.01. по 30.06.2024 – 0 %;</w:t>
      </w:r>
    </w:p>
    <w:p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 01.07. по 31.12.2024 – 13,0 %;</w:t>
      </w:r>
    </w:p>
    <w:p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>
      <w:pPr>
        <w:pStyle w:val="6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 сельском поселении «Деревня Погореловка» согласно Приложению № 2 к Проекту  к решению.</w:t>
      </w:r>
    </w:p>
    <w:p>
      <w:pPr>
        <w:pStyle w:val="6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подписания.</w:t>
      </w:r>
    </w:p>
    <w:p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А.Н. Косарев</w:t>
      </w: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0"/>
          <w:lang w:eastAsia="ru-RU"/>
        </w:rPr>
      </w:pPr>
      <w:bookmarkStart w:id="0" w:name="_Hlk151451513"/>
      <w:r>
        <w:rPr>
          <w:rFonts w:ascii="Times New Roman" w:hAnsi="Times New Roman" w:eastAsia="Times New Roman"/>
          <w:color w:val="000000"/>
          <w:lang w:eastAsia="ru-RU"/>
        </w:rPr>
        <w:t>Приложение 1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ПРЕДЕЛЬНЫЕ (МАКСИМАЛЬНЫЕ) ИНДЕКСЫ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ИЗМЕНЕНИЯ РАЗМЕРА ВНОСИМОЙ ГРАЖДАНАМИ ПЛАТЫ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ЗА КОММУНАЛЬНЫЕ УСЛУГИ В МУНИЦИПАЛЬНОМ ОБРАЗОВАНИИ СЕЛЬСКОЕ ПОСЕЛЕНИЕ «ДЕРЕВНЯ ПОГОРЕЛОВКА» НА ПЕРИОД С 1 ЯНВАРЯ 2024 ГОДА ПО 2028 ГОД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858"/>
        <w:gridCol w:w="2639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285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1493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1379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843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eastAsia="ru-RU"/>
              </w:rPr>
              <w:t xml:space="preserve">Предельные индексы,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</w:p>
        </w:tc>
        <w:tc>
          <w:tcPr>
            <w:tcW w:w="1379" w:type="pct"/>
            <w:vMerge w:val="continue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</w:p>
        </w:tc>
        <w:tc>
          <w:tcPr>
            <w:tcW w:w="1843" w:type="pct"/>
            <w:vMerge w:val="continue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" w:type="pc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>4 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493" w:type="pct"/>
            <w:vMerge w:val="restar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Сельское поселение «Деревня Погореловка»</w:t>
            </w:r>
          </w:p>
        </w:tc>
        <w:tc>
          <w:tcPr>
            <w:tcW w:w="1379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 01.01. по 30.06.2024 </w:t>
            </w:r>
          </w:p>
        </w:tc>
        <w:tc>
          <w:tcPr>
            <w:tcW w:w="1843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493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 01.07. по 31.12.2024</w:t>
            </w:r>
          </w:p>
        </w:tc>
        <w:tc>
          <w:tcPr>
            <w:tcW w:w="1843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5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493" w:type="pct"/>
            <w:vMerge w:val="continue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</w:p>
        </w:tc>
        <w:tc>
          <w:tcPr>
            <w:tcW w:w="1379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2025-2028</w:t>
            </w:r>
          </w:p>
        </w:tc>
        <w:tc>
          <w:tcPr>
            <w:tcW w:w="1843" w:type="pct"/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Arial" w:hAnsi="Arial" w:cs="Arial"/>
                <w:position w:val="-28"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2066925" cy="413385"/>
                  <wp:effectExtent l="0" t="0" r="9525" b="5715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1119"/>
          <w:tab w:val="right" w:pos="14570"/>
        </w:tabs>
        <w:spacing w:after="0" w:line="240" w:lineRule="auto"/>
        <w:ind w:left="893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spacing w:after="0" w:line="240" w:lineRule="auto"/>
        <w:ind w:left="8363"/>
        <w:jc w:val="righ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 СЕЛЬСКОЕ ПОСЕЛЕНИЕ «ДЕРЕВНЯ ПОГОРЕЛОВКА» </w:t>
      </w:r>
    </w:p>
    <w:tbl>
      <w:tblPr>
        <w:tblStyle w:val="3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927"/>
        <w:gridCol w:w="7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9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1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759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Обоснование величины установленных предельных (максимальных)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гражданами платы за коммунальные услуги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9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2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9" w:type="pct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9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Сельское поселение «Деревня Погореловка»</w:t>
            </w:r>
          </w:p>
        </w:tc>
        <w:tc>
          <w:tcPr>
            <w:tcW w:w="3759" w:type="pct"/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1. Причины и факторы, повлиявшие на величину установленного предельного (максимального) индекса: распоряжения   Правительства   Российской   Федерации   от  10.11.2023  № 3147-р.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2. Набор коммунальных услуг и тип благоустройства, которому соответствует значение предельного индекса: электроснабжение, газоснабжение (сжиженный газ), печное отопление (дрова), обращение с твердыми коммунальными отходами.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3. Размер и темпы изменения тарифов на коммунальные услуги: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– первое полугодие 2024 года – 0 %;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– второе полугодие 2024 года – 13,00 %, в том числе: электроснабжение – 4,58 руб./кВт·ч (9,05 %); газоснабжение – 41,76 руб./куб.м (10,00 %); печное отопление (дрова) – 490,83 руб./куб.м (10,00 %); обращение с твердыми коммунальными отходами – 567,91 руб./куб.м (10,00 %).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4. Объемы и (или) нормативы потребления коммунальных услуг в месяц: электроснабжение – 72 кВт·ч/чел./мес.; газоснабжение – 6,9 куб.м/чел./мес.; печное отопление (дрова) – 0,0476 куб.м/кв. м./мес.; накопление твердых коммунальных отходов в индивидуальных жилых домах – 0,13333 куб.м/чел./мес.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Нормативы потребления коммунальных услуг при использовании земельного участка и надворных построек: </w:t>
            </w:r>
            <w:r>
              <w:rPr>
                <w:rFonts w:ascii="Times New Roman" w:hAnsi="Times New Roman"/>
                <w:sz w:val="26"/>
                <w:szCs w:val="26"/>
              </w:rPr>
              <w:t>отопление надворных построек, расположенных на земельном участке, при газоснабжении сжиженным углеводородным газом – 5,1 кг/кв.м/мес.; приготовление пищи и подогрев воды для крупного рогатого скота при газоснабжении сжиженным углеводородным газом – 7,8 кг/гол. жив./мес.; приготовление пищи и подогрев воды для иных сельскохозяйственных животных при газоснабжении сжиженным углеводородным газом – 3,3 кг/гол. жив./мес.; освещение в целях содержания сельскохозяйственных животных – 0,4 кВт·ч/кв.м/мес.; освещение иных надворных построек, в том числе бань, саун, бассейнов, гаражей, теплиц (зимних садов) – 1,09 кВт·ч/кв.м/мес.; приготовление пищи и подогрев воды для сельскохозяйственных животных – 1,68 квВт.ч/гол.жив./мес.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5. Численность населения, изменение размера платы за коммунальные услуги в отношении которого равно установленному предельному индексу, – 89 чел.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0,32130, на территории Калужской области – 0,00008.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188 чел.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0,67870, на территории Калужской области – 0,00018.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9. Численность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– 89 чел.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10. 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0,32130, на территории Калужской области – 0,00008.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89 чел.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12. Доля населения, изменение размера платы за коммунальные услуги в отношении которого более установленного индекса по Калужской области, в общей численности населения на территории муниципального образования – 0,32130, на территории Калужской области – 0,00008.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5"/>
              <w:gridCol w:w="1946"/>
              <w:gridCol w:w="1946"/>
              <w:gridCol w:w="1946"/>
              <w:gridCol w:w="1946"/>
              <w:gridCol w:w="19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5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Июль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Август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Сентябрь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Октябрь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Ноябрь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Декабрь 2024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5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lang w:eastAsia="ru-RU"/>
                    </w:rPr>
                    <w:t>27,16</w:t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</w:p>
        </w:tc>
      </w:tr>
    </w:tbl>
    <w:p/>
    <w:p>
      <w:pPr>
        <w:pStyle w:val="6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>
      <w:pgSz w:w="11905" w:h="16838"/>
      <w:pgMar w:top="1134" w:right="850" w:bottom="1134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23BF4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1AF4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2EB0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75766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06EA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426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  <w:rsid w:val="249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ConsPlusNormal"/>
    <w:uiPriority w:val="99"/>
    <w:pPr>
      <w:autoSpaceDE w:val="0"/>
      <w:autoSpaceDN w:val="0"/>
      <w:adjustRightInd w:val="0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uiPriority w:val="99"/>
    <w:rPr>
      <w:lang w:eastAsia="en-US"/>
    </w:rPr>
  </w:style>
  <w:style w:type="character" w:customStyle="1" w:styleId="9">
    <w:name w:val="Нижний колонтитул Знак"/>
    <w:basedOn w:val="2"/>
    <w:link w:val="5"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1807</Characters>
  <Lines>15</Lines>
  <Paragraphs>4</Paragraphs>
  <TotalTime>2</TotalTime>
  <ScaleCrop>false</ScaleCrop>
  <LinksUpToDate>false</LinksUpToDate>
  <CharactersWithSpaces>2120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2019-10-15T08:31:00Z</dcterms:created>
  <dc:creator>Сосина Ирина Валерьевна</dc:creator>
  <cp:lastModifiedBy>Погореловка</cp:lastModifiedBy>
  <cp:lastPrinted>2023-11-15T04:49:00Z</cp:lastPrinted>
  <dcterms:modified xsi:type="dcterms:W3CDTF">2023-11-23T06:17:03Z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D224EEFF28D2406AB96ECC1B37ADC101_12</vt:lpwstr>
  </property>
</Properties>
</file>