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</w:t>
      </w:r>
      <w:proofErr w:type="gramStart"/>
      <w:r w:rsidRPr="00B25847"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</w:t>
      </w:r>
      <w:proofErr w:type="gramEnd"/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3A24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«Деревня Большие Козлы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» на 2022 год</w:t>
      </w: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 01 октября по 01 ноября 2021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</w:t>
      </w:r>
      <w:proofErr w:type="gramEnd"/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поселения «</w:t>
      </w:r>
      <w:r w:rsidR="003A246E"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>» на 2022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на электронную почту администрации района «Перемышльский район» -  </w:t>
      </w:r>
      <w:hyperlink r:id="rId5" w:history="1">
        <w:r w:rsidRPr="00B25847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aperemyshl@adm.kaluga.ru</w:t>
        </w:r>
      </w:hyperlink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</w:p>
    <w:p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bookmarkStart w:id="0" w:name="_GoBack"/>
      <w:bookmarkEnd w:id="0"/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A246E"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511FDF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3A24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3A246E" w:rsidRPr="003A246E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муниципальном контроле в сфере благоустройства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сельского поселе</w:t>
      </w:r>
      <w:r w:rsidR="003A246E">
        <w:rPr>
          <w:rFonts w:ascii="Times New Roman" w:hAnsi="Times New Roman" w:cs="Times New Roman"/>
          <w:sz w:val="26"/>
          <w:szCs w:val="26"/>
          <w:shd w:val="clear" w:color="auto" w:fill="FFFFFF"/>
        </w:rPr>
        <w:t>ния «</w:t>
      </w:r>
      <w:r w:rsidR="003A246E"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сельского поселения «</w:t>
      </w:r>
      <w:r w:rsidR="003A246E"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3A24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от </w:t>
      </w:r>
      <w:r w:rsidR="008F10B7">
        <w:rPr>
          <w:rFonts w:ascii="Times New Roman" w:hAnsi="Times New Roman" w:cs="Times New Roman"/>
          <w:sz w:val="26"/>
          <w:szCs w:val="26"/>
          <w:shd w:val="clear" w:color="auto" w:fill="FFFFFF"/>
        </w:rPr>
        <w:t>30.08.2021 г. №39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3A246E">
        <w:rPr>
          <w:rFonts w:ascii="Times New Roman" w:hAnsi="Times New Roman" w:cs="Times New Roman"/>
          <w:sz w:val="26"/>
          <w:szCs w:val="26"/>
        </w:rPr>
        <w:t>тории сельского поселения «</w:t>
      </w:r>
      <w:r w:rsidR="003A246E"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3A246E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3A246E">
        <w:rPr>
          <w:rFonts w:ascii="Times New Roman" w:hAnsi="Times New Roman" w:cs="Times New Roman"/>
          <w:b/>
          <w:bCs/>
          <w:sz w:val="26"/>
          <w:szCs w:val="26"/>
        </w:rPr>
        <w:t>П.С. Клопов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3A24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3A24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3A24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3A246E"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3A24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:rsidR="00AF2F6D" w:rsidRDefault="00AF2F6D" w:rsidP="003A24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3A246E"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сельского поселения «</w:t>
      </w:r>
      <w:r w:rsidR="003A246E"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4B0CF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3A246E"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3A246E"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CB3081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вида муниципального контроля </w:t>
      </w:r>
      <w:r w:rsidR="00CB3081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CB3081" w:rsidRP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  </w:t>
      </w:r>
    </w:p>
    <w:p w:rsidR="00F23E71" w:rsidRDefault="00F8639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F23E71" w:rsidRPr="005A47D5" w:rsidRDefault="00F8639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F23E71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:rsidR="00CB3081" w:rsidRPr="005A47D5" w:rsidRDefault="00F86394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="00CB3081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, устранения причин, факторов и условий, способствующих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указанным нарушениям,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</w:t>
      </w:r>
      <w:r w:rsidR="008A1B4D">
        <w:rPr>
          <w:rFonts w:ascii="Times New Roman" w:hAnsi="Times New Roman" w:cs="Times New Roman"/>
          <w:bCs/>
          <w:sz w:val="26"/>
          <w:szCs w:val="26"/>
        </w:rPr>
        <w:t xml:space="preserve">нарушений. </w:t>
      </w:r>
    </w:p>
    <w:p w:rsidR="00CB3081" w:rsidRPr="005A47D5" w:rsidRDefault="00CB308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F23E71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3A246E"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F23E71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контроля, проводилась разъяснительная работа с контролируемыми лицами.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86394" w:rsidRPr="00F86394" w:rsidRDefault="00F86394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6.</w:t>
      </w:r>
      <w:r w:rsidRPr="00F863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период с </w:t>
      </w:r>
      <w:r w:rsidRPr="00F86394">
        <w:rPr>
          <w:rStyle w:val="wmi-callto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2019-2021</w:t>
      </w:r>
      <w:r w:rsidRPr="00F863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гг. в рамках проводимого муниципального жилищного  контроля на территории СП "</w:t>
      </w:r>
      <w:r w:rsidRPr="00F863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46E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Pr="00F8639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 нарушений со стороны контролируемых лиц выявлено не было.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693"/>
        <w:gridCol w:w="2835"/>
      </w:tblGrid>
      <w:tr w:rsidR="00CB3081" w:rsidRPr="008916B3" w:rsidTr="00176854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:rsidTr="00176854">
        <w:trPr>
          <w:trHeight w:val="39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:rsidTr="00176854">
        <w:trPr>
          <w:trHeight w:val="983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176854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693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176854">
        <w:trPr>
          <w:trHeight w:val="331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3E71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  <w:p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F23E71" w:rsidRPr="00F23E71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1) компетенция контрольного органа;</w:t>
            </w:r>
          </w:p>
          <w:p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(надзорных) мероприятий, проводимых в рамках осуществления муниципального контроля. </w:t>
            </w: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176854">
        <w:trPr>
          <w:trHeight w:val="357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176854">
        <w:trPr>
          <w:trHeight w:val="496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CB3081" w:rsidRPr="00F86394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F86394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</w:t>
      </w:r>
      <w:r w:rsidR="00F86394" w:rsidRPr="00F86394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F86394">
        <w:rPr>
          <w:rStyle w:val="aa"/>
          <w:rFonts w:ascii="Times New Roman" w:hAnsi="Times New Roman" w:cs="Times New Roman"/>
          <w:i w:val="0"/>
          <w:sz w:val="26"/>
          <w:szCs w:val="26"/>
        </w:rPr>
        <w:t>___ %.</w:t>
      </w:r>
    </w:p>
    <w:p w:rsidR="00CB3081" w:rsidRPr="00F86394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F86394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F86394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</w:t>
      </w:r>
      <w:r w:rsidR="00F86394" w:rsidRPr="00F86394">
        <w:rPr>
          <w:rStyle w:val="aa"/>
          <w:rFonts w:ascii="Times New Roman" w:hAnsi="Times New Roman" w:cs="Times New Roman"/>
          <w:i w:val="0"/>
          <w:sz w:val="26"/>
          <w:szCs w:val="26"/>
        </w:rPr>
        <w:t>40</w:t>
      </w:r>
      <w:r w:rsidRPr="00F86394">
        <w:rPr>
          <w:rStyle w:val="aa"/>
          <w:rFonts w:ascii="Times New Roman" w:hAnsi="Times New Roman" w:cs="Times New Roman"/>
          <w:i w:val="0"/>
          <w:sz w:val="26"/>
          <w:szCs w:val="26"/>
        </w:rPr>
        <w:t>___ %.</w:t>
      </w: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9399B"/>
    <w:rsid w:val="00015347"/>
    <w:rsid w:val="000401CD"/>
    <w:rsid w:val="00070599"/>
    <w:rsid w:val="00086D06"/>
    <w:rsid w:val="000E753E"/>
    <w:rsid w:val="00112DF4"/>
    <w:rsid w:val="0015257D"/>
    <w:rsid w:val="0019324F"/>
    <w:rsid w:val="002247AB"/>
    <w:rsid w:val="00233FD5"/>
    <w:rsid w:val="002B0094"/>
    <w:rsid w:val="002B49DD"/>
    <w:rsid w:val="00334DFF"/>
    <w:rsid w:val="00362A60"/>
    <w:rsid w:val="00371351"/>
    <w:rsid w:val="0038020A"/>
    <w:rsid w:val="0038675E"/>
    <w:rsid w:val="003952BF"/>
    <w:rsid w:val="003A246E"/>
    <w:rsid w:val="003D1C0A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8F10B7"/>
    <w:rsid w:val="00912CAC"/>
    <w:rsid w:val="00941804"/>
    <w:rsid w:val="00954C57"/>
    <w:rsid w:val="0097432B"/>
    <w:rsid w:val="009A0A8A"/>
    <w:rsid w:val="009D7B52"/>
    <w:rsid w:val="00A220F9"/>
    <w:rsid w:val="00A32D85"/>
    <w:rsid w:val="00AA1752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5262C"/>
    <w:rsid w:val="00E60F09"/>
    <w:rsid w:val="00E61F28"/>
    <w:rsid w:val="00F23E71"/>
    <w:rsid w:val="00F62A99"/>
    <w:rsid w:val="00F719F6"/>
    <w:rsid w:val="00F75B85"/>
    <w:rsid w:val="00F86394"/>
    <w:rsid w:val="00FC3E47"/>
    <w:rsid w:val="00FC7B57"/>
    <w:rsid w:val="00FD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  <w:style w:type="character" w:customStyle="1" w:styleId="wmi-callto">
    <w:name w:val="wmi-callto"/>
    <w:basedOn w:val="a0"/>
    <w:rsid w:val="00F86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remyshl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adm.bolschiekozli@yandex.ru</cp:lastModifiedBy>
  <cp:revision>11</cp:revision>
  <cp:lastPrinted>2021-09-27T12:36:00Z</cp:lastPrinted>
  <dcterms:created xsi:type="dcterms:W3CDTF">2021-09-29T09:06:00Z</dcterms:created>
  <dcterms:modified xsi:type="dcterms:W3CDTF">2021-10-05T05:17:00Z</dcterms:modified>
</cp:coreProperties>
</file>