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E1E" w:rsidRPr="00D52E1E" w:rsidRDefault="00F37446" w:rsidP="00F3744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1C1C1C"/>
          <w:sz w:val="1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C1C1C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BB541D2" wp14:editId="73AB120B">
            <wp:simplePos x="0" y="0"/>
            <wp:positionH relativeFrom="margin">
              <wp:align>center</wp:align>
            </wp:positionH>
            <wp:positionV relativeFrom="paragraph">
              <wp:posOffset>-94615</wp:posOffset>
            </wp:positionV>
            <wp:extent cx="5306400" cy="2642400"/>
            <wp:effectExtent l="0" t="0" r="8890" b="5715"/>
            <wp:wrapTight wrapText="bothSides">
              <wp:wrapPolygon edited="0">
                <wp:start x="0" y="0"/>
                <wp:lineTo x="0" y="21491"/>
                <wp:lineTo x="21559" y="21491"/>
                <wp:lineTo x="2155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ff6ac9363f95595a8c5f8ef33faea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6400" cy="264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7446" w:rsidRPr="000076C7" w:rsidRDefault="00F37446" w:rsidP="002C338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1C1C1C"/>
          <w:sz w:val="2"/>
          <w:szCs w:val="28"/>
          <w:lang w:eastAsia="ru-RU"/>
        </w:rPr>
      </w:pPr>
    </w:p>
    <w:p w:rsidR="00166E8F" w:rsidRDefault="00166E8F" w:rsidP="002C338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1C1C1C"/>
          <w:szCs w:val="28"/>
          <w:lang w:eastAsia="ru-RU"/>
        </w:rPr>
      </w:pPr>
    </w:p>
    <w:p w:rsidR="00AB0D5B" w:rsidRPr="007E5578" w:rsidRDefault="00AB0D5B" w:rsidP="002C338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1C1C1C"/>
          <w:szCs w:val="28"/>
          <w:lang w:eastAsia="ru-RU"/>
        </w:rPr>
      </w:pPr>
    </w:p>
    <w:p w:rsidR="000B39E1" w:rsidRDefault="000B39E1" w:rsidP="00EE540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color w:val="1C1C1C"/>
          <w:sz w:val="28"/>
          <w:szCs w:val="28"/>
          <w:lang w:eastAsia="ru-RU"/>
        </w:rPr>
      </w:pPr>
    </w:p>
    <w:p w:rsidR="000B39E1" w:rsidRPr="000B39E1" w:rsidRDefault="000B39E1" w:rsidP="000B39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9E1" w:rsidRPr="000B39E1" w:rsidRDefault="000B39E1" w:rsidP="000B39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9E1" w:rsidRPr="000B39E1" w:rsidRDefault="000B39E1" w:rsidP="000B39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9E1" w:rsidRPr="000B39E1" w:rsidRDefault="000B39E1" w:rsidP="000B39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9E1" w:rsidRPr="000B39E1" w:rsidRDefault="000B39E1" w:rsidP="00E862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9E1" w:rsidRDefault="000B39E1" w:rsidP="00E862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294" w:rsidRPr="00E86294" w:rsidRDefault="00E86294" w:rsidP="00E86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0"/>
          <w:szCs w:val="28"/>
          <w:lang w:eastAsia="ru-RU"/>
        </w:rPr>
      </w:pPr>
    </w:p>
    <w:p w:rsidR="00C5290D" w:rsidRPr="00DE27D6" w:rsidRDefault="00750CF4" w:rsidP="00E86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Уточнен </w:t>
      </w:r>
      <w:r w:rsidRPr="00750CF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порядок назначения и выплаты пособия на детей</w:t>
      </w:r>
    </w:p>
    <w:p w:rsidR="00DE27D6" w:rsidRDefault="00DE27D6" w:rsidP="00E8629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28"/>
          <w:shd w:val="clear" w:color="auto" w:fill="FFFFFF"/>
          <w:lang w:eastAsia="ru-RU"/>
        </w:rPr>
      </w:pPr>
    </w:p>
    <w:p w:rsidR="00C72D64" w:rsidRDefault="00C72D64" w:rsidP="00750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C72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72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 от 28</w:t>
      </w:r>
      <w:r w:rsidR="005F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2023 года № 2010 </w:t>
      </w:r>
      <w:r w:rsidR="00750CF4" w:rsidRPr="00750CF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 изменения в</w:t>
      </w:r>
      <w:r w:rsidRPr="00C7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8" w:anchor="block_1000" w:history="1">
        <w:r w:rsidR="00750CF4" w:rsidRPr="00C72D6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Правила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CF4" w:rsidRPr="00750C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 и выплаты ежемесячного пособия в связи с рождением и воспитанием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начавшие свое действие с 1 декабря 2023 года.</w:t>
      </w:r>
    </w:p>
    <w:p w:rsidR="00750CF4" w:rsidRDefault="00C72D64" w:rsidP="00750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50CF4" w:rsidRPr="00750CF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оправками расширен список доходов семьи, которые не учитываются при назначении выплаты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0CF4" w:rsidRPr="00750C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уточнены правила учета заработка самозанятых родителей для определения права семьи на пособие.</w:t>
      </w:r>
    </w:p>
    <w:p w:rsidR="00750CF4" w:rsidRPr="00750CF4" w:rsidRDefault="00750CF4" w:rsidP="00750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начиная с </w:t>
      </w:r>
      <w:r w:rsidR="00C7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750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="00C7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текущего года </w:t>
      </w:r>
      <w:r w:rsidRPr="00750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пособия больше не учитываются проценты по номинальным счетам, открытым на опекаемых детей. Помимо этого, не принимаются в расчет выплаты, полученные за звание </w:t>
      </w:r>
      <w:r w:rsidR="00C72D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50C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Мать-героиня</w:t>
      </w:r>
      <w:r w:rsidR="00C72D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50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орден или медаль ордена </w:t>
      </w:r>
      <w:r w:rsidR="00C72D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50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Родительская слава</w:t>
      </w:r>
      <w:r w:rsidR="00C72D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50C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6878" w:rsidRDefault="00750CF4" w:rsidP="00750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CF4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родителя, для которого единственный источник заработк</w:t>
      </w:r>
      <w:r w:rsidR="00C72D64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д</w:t>
      </w:r>
      <w:r w:rsidRPr="00750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еятельность в статусе самозанятого, </w:t>
      </w:r>
      <w:r w:rsidR="005F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пособие возникнет в случае, </w:t>
      </w:r>
      <w:r w:rsidR="005F6878" w:rsidRPr="005F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годовой доход от </w:t>
      </w:r>
      <w:proofErr w:type="spellStart"/>
      <w:r w:rsidR="005F6878" w:rsidRPr="005F687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самозанятости</w:t>
      </w:r>
      <w:proofErr w:type="spellEnd"/>
      <w:r w:rsidR="005F6878" w:rsidRPr="005F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превышает два минимальных </w:t>
      </w:r>
      <w:proofErr w:type="gramStart"/>
      <w:r w:rsidR="005F6878" w:rsidRPr="005F68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 w:rsidR="005F6878" w:rsidRPr="005F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регулярном заработке. Условие не распространяется на тех, для кого </w:t>
      </w:r>
      <w:proofErr w:type="spellStart"/>
      <w:r w:rsidR="005F6878" w:rsidRPr="005F687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самозанятость</w:t>
      </w:r>
      <w:proofErr w:type="spellEnd"/>
      <w:r w:rsidR="005F6878" w:rsidRPr="005F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дополнительный источник дохода. </w:t>
      </w:r>
    </w:p>
    <w:p w:rsidR="00750CF4" w:rsidRPr="00750CF4" w:rsidRDefault="00750CF4" w:rsidP="00750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CF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внесены изменения, касающиеся порядка учета алиментов при назначении единого пособия, которые вступят в силу с июня следующего года.</w:t>
      </w:r>
    </w:p>
    <w:p w:rsidR="00750CF4" w:rsidRPr="00750CF4" w:rsidRDefault="005F6878" w:rsidP="00750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е</w:t>
      </w:r>
      <w:r w:rsidR="00750CF4" w:rsidRPr="00750C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при разводе алименты установлены судом, то они будут учитываться по объему фактически поступивших средств</w:t>
      </w:r>
      <w:r w:rsidR="00C72D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CF4" w:rsidRPr="00750CF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данные заявитель может указать самостоятельно, если исполнительное производство по решению суда не возбуждено. Если решение суда было передано в службу судебных приставов, то Социальный фонд получит эти данные у ФСПП России без истребования сведений с заявителя.</w:t>
      </w:r>
    </w:p>
    <w:p w:rsidR="00750CF4" w:rsidRDefault="00750CF4" w:rsidP="00750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CF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алименты установлены на основании соглашения или устной договоренности между родителями, то при расчете среднедушевого дохода будет учитываться сумма, указанная в заявлении, но не меньше предусмотренных </w:t>
      </w:r>
      <w:hyperlink r:id="rId9" w:anchor="block_8200" w:history="1">
        <w:r w:rsidRPr="00C72D6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Семейным</w:t>
        </w:r>
        <w:r w:rsidR="005F687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Pr="00C72D6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кодексом</w:t>
        </w:r>
      </w:hyperlink>
      <w:r w:rsidRPr="00750CF4">
        <w:rPr>
          <w:rFonts w:ascii="Times New Roman" w:eastAsia="Times New Roman" w:hAnsi="Times New Roman" w:cs="Times New Roman"/>
          <w:sz w:val="28"/>
          <w:szCs w:val="28"/>
          <w:lang w:eastAsia="ru-RU"/>
        </w:rPr>
        <w:t> Р</w:t>
      </w:r>
      <w:r w:rsidR="005F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Федерации </w:t>
      </w:r>
      <w:r w:rsidRPr="00750C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минимальных гарантий. Это четверть МРОТ на одного ребенка, треть МРОТ на двоих детей и половина МРОТ на трех и более детей.</w:t>
      </w:r>
    </w:p>
    <w:p w:rsidR="005F6878" w:rsidRDefault="005F6878" w:rsidP="00750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B1" w:rsidRDefault="005F6878" w:rsidP="005F687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68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Дети </w:t>
      </w:r>
      <w:r w:rsidR="009942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погибших </w:t>
      </w:r>
      <w:r w:rsidRPr="005F68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 COVID-19 медработников будут</w:t>
      </w:r>
    </w:p>
    <w:p w:rsidR="005F6878" w:rsidRPr="00750CF4" w:rsidRDefault="005F6878" w:rsidP="005F687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68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поступать в медвузы без экзаменов по квоте</w:t>
      </w:r>
    </w:p>
    <w:p w:rsidR="005F6878" w:rsidRPr="005F6878" w:rsidRDefault="005F6878" w:rsidP="005F687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6878" w:rsidRDefault="005F6878" w:rsidP="005F68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летом </w:t>
      </w:r>
      <w:r w:rsidRPr="005F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</w:t>
      </w:r>
      <w:r w:rsidRPr="005F68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вступили в силу поправки к </w:t>
      </w:r>
      <w:r w:rsidRPr="005F687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5F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5F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 декабря </w:t>
      </w:r>
      <w:r w:rsidRPr="005F6878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Pr="005F6878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F68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F68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8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которым дети медработников, умерших в результате инфицирования COVID-19 при исполнении ими трудовых обязанностей, принимаются на бюджетные места по основным профессиональным образовательным программам медицинского и фармацевтического образования в пределах отдельной квоты (то есть </w:t>
      </w:r>
      <w:hyperlink r:id="rId10" w:anchor="block_7152" w:history="1">
        <w:r w:rsidRPr="009942B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без проведения</w:t>
        </w:r>
      </w:hyperlink>
      <w:r w:rsidRPr="005F6878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вступительных испытаний)</w:t>
      </w:r>
      <w:r w:rsidR="00994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942B1" w:rsidRPr="005F6878" w:rsidRDefault="009942B1" w:rsidP="005F68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соответствующие </w:t>
      </w:r>
      <w:hyperlink r:id="rId11" w:anchor="block_1972" w:history="1">
        <w:r w:rsidR="005F6878" w:rsidRPr="009942B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изменения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878" w:rsidRPr="005F687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878" w:rsidRPr="005F68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Порядок приема на обучение по образовательным</w:t>
      </w:r>
      <w:r w:rsidR="008A5C75" w:rsidRPr="0099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 высшего образования,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начавшие свое действие с </w:t>
      </w:r>
      <w:r w:rsidR="008A5C75" w:rsidRPr="009942B1">
        <w:rPr>
          <w:rFonts w:ascii="Times New Roman" w:eastAsia="Times New Roman" w:hAnsi="Times New Roman" w:cs="Times New Roman"/>
          <w:sz w:val="28"/>
          <w:szCs w:val="28"/>
          <w:lang w:eastAsia="ru-RU"/>
        </w:rPr>
        <w:t>8 декабря 2023 года.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6878" w:rsidRDefault="005F6878" w:rsidP="005F68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Pr="005F687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квота </w:t>
      </w:r>
      <w:hyperlink r:id="rId12" w:anchor="block_100615" w:history="1">
        <w:r w:rsidRPr="009942B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устанавливается</w:t>
        </w:r>
      </w:hyperlink>
      <w:r w:rsidRPr="005F6878">
        <w:rPr>
          <w:rFonts w:ascii="Times New Roman" w:eastAsia="Times New Roman" w:hAnsi="Times New Roman" w:cs="Times New Roman"/>
          <w:sz w:val="28"/>
          <w:szCs w:val="28"/>
          <w:lang w:eastAsia="ru-RU"/>
        </w:rPr>
        <w:t> вузом в размере не менее 10% от объема контрольных цифр по каждой специальности или направлению подготовки.</w:t>
      </w:r>
    </w:p>
    <w:p w:rsidR="009942B1" w:rsidRDefault="009942B1" w:rsidP="005F68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B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обучение на подготовительном отделении будет для детей медиков на бесплатной основе.</w:t>
      </w:r>
    </w:p>
    <w:p w:rsidR="009942B1" w:rsidRDefault="009942B1" w:rsidP="005F68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B1" w:rsidRDefault="009942B1" w:rsidP="005F68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B1" w:rsidRDefault="009942B1" w:rsidP="009942B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942B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Ежемесячную выплату по уходу за ребенком-инвалидом смогут получать родители (опекуны), работающие на условиях </w:t>
      </w:r>
    </w:p>
    <w:p w:rsidR="009942B1" w:rsidRPr="009942B1" w:rsidRDefault="009942B1" w:rsidP="009942B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942B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частичной занятости</w:t>
      </w:r>
    </w:p>
    <w:p w:rsidR="009942B1" w:rsidRPr="009942B1" w:rsidRDefault="009942B1" w:rsidP="009942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B1" w:rsidRPr="009942B1" w:rsidRDefault="009942B1" w:rsidP="009942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Внесены изменения в </w:t>
      </w:r>
      <w:r w:rsidRPr="0099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Президента Российской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от 26 февраля 2013 года № 175 «</w:t>
      </w:r>
      <w:r w:rsidRPr="009942B1">
        <w:rPr>
          <w:rFonts w:ascii="Times New Roman" w:eastAsia="Times New Roman" w:hAnsi="Times New Roman" w:cs="Times New Roman"/>
          <w:sz w:val="28"/>
          <w:szCs w:val="28"/>
          <w:lang w:eastAsia="ru-RU"/>
        </w:rPr>
        <w:t>О ежемесячных выплатах лицам, осуществляющим уход за детьми-инвалидами и инвалидами с детства I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942B1" w:rsidRPr="009942B1" w:rsidRDefault="009942B1" w:rsidP="009942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поправкам, которые начнут действие с 1 января 2024 года, </w:t>
      </w:r>
      <w:r w:rsidRPr="0099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ежемесячные выплаты в размере 10 тыс. рублей по уходу за ребенком-инвалидом в возрасте до 18 лет или инвалидом с детства I группы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смогут получать </w:t>
      </w:r>
      <w:r w:rsidRPr="009942B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трудоспособны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9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(усыновител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942B1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опекун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9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(попечите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9942B1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неработающи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осуществляющи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трудовую деятельность на условиях неполного рабочего времени, в том числе на указанных условиях дистанционно или на дому.</w:t>
      </w:r>
      <w:bookmarkStart w:id="0" w:name="_GoBack"/>
      <w:bookmarkEnd w:id="0"/>
    </w:p>
    <w:sectPr w:rsidR="009942B1" w:rsidRPr="009942B1" w:rsidSect="00E86294">
      <w:headerReference w:type="default" r:id="rId13"/>
      <w:pgSz w:w="11906" w:h="16838"/>
      <w:pgMar w:top="737" w:right="851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D19" w:rsidRDefault="00FD0D19" w:rsidP="003E7429">
      <w:pPr>
        <w:spacing w:after="0" w:line="240" w:lineRule="auto"/>
      </w:pPr>
      <w:r>
        <w:separator/>
      </w:r>
    </w:p>
  </w:endnote>
  <w:endnote w:type="continuationSeparator" w:id="0">
    <w:p w:rsidR="00FD0D19" w:rsidRDefault="00FD0D19" w:rsidP="003E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D19" w:rsidRDefault="00FD0D19" w:rsidP="003E7429">
      <w:pPr>
        <w:spacing w:after="0" w:line="240" w:lineRule="auto"/>
      </w:pPr>
      <w:r>
        <w:separator/>
      </w:r>
    </w:p>
  </w:footnote>
  <w:footnote w:type="continuationSeparator" w:id="0">
    <w:p w:rsidR="00FD0D19" w:rsidRDefault="00FD0D19" w:rsidP="003E7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73079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E7429" w:rsidRPr="003E7429" w:rsidRDefault="003E7429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3E7429">
          <w:rPr>
            <w:rFonts w:ascii="Times New Roman" w:hAnsi="Times New Roman" w:cs="Times New Roman"/>
            <w:sz w:val="24"/>
          </w:rPr>
          <w:fldChar w:fldCharType="begin"/>
        </w:r>
        <w:r w:rsidRPr="003E7429">
          <w:rPr>
            <w:rFonts w:ascii="Times New Roman" w:hAnsi="Times New Roman" w:cs="Times New Roman"/>
            <w:sz w:val="24"/>
          </w:rPr>
          <w:instrText>PAGE   \* MERGEFORMAT</w:instrText>
        </w:r>
        <w:r w:rsidRPr="003E7429">
          <w:rPr>
            <w:rFonts w:ascii="Times New Roman" w:hAnsi="Times New Roman" w:cs="Times New Roman"/>
            <w:sz w:val="24"/>
          </w:rPr>
          <w:fldChar w:fldCharType="separate"/>
        </w:r>
        <w:r w:rsidR="009942B1">
          <w:rPr>
            <w:rFonts w:ascii="Times New Roman" w:hAnsi="Times New Roman" w:cs="Times New Roman"/>
            <w:noProof/>
            <w:sz w:val="24"/>
          </w:rPr>
          <w:t>2</w:t>
        </w:r>
        <w:r w:rsidRPr="003E742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E7429" w:rsidRDefault="003E742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3A"/>
    <w:rsid w:val="00002D3D"/>
    <w:rsid w:val="000076C7"/>
    <w:rsid w:val="000B39E1"/>
    <w:rsid w:val="000D2FFB"/>
    <w:rsid w:val="00104C15"/>
    <w:rsid w:val="00125E41"/>
    <w:rsid w:val="00166E8F"/>
    <w:rsid w:val="00194F96"/>
    <w:rsid w:val="001D7296"/>
    <w:rsid w:val="001E54A4"/>
    <w:rsid w:val="002A05F7"/>
    <w:rsid w:val="002A40BE"/>
    <w:rsid w:val="002B1CC1"/>
    <w:rsid w:val="002B3CE5"/>
    <w:rsid w:val="002C338A"/>
    <w:rsid w:val="003D6003"/>
    <w:rsid w:val="003E7429"/>
    <w:rsid w:val="00410F4A"/>
    <w:rsid w:val="00581E74"/>
    <w:rsid w:val="005F6878"/>
    <w:rsid w:val="00685AF1"/>
    <w:rsid w:val="006E3E83"/>
    <w:rsid w:val="00717032"/>
    <w:rsid w:val="00740232"/>
    <w:rsid w:val="00750CF4"/>
    <w:rsid w:val="007E5578"/>
    <w:rsid w:val="00892E3A"/>
    <w:rsid w:val="008A5C75"/>
    <w:rsid w:val="008B0324"/>
    <w:rsid w:val="0094526A"/>
    <w:rsid w:val="00954673"/>
    <w:rsid w:val="009942B1"/>
    <w:rsid w:val="009B5DA3"/>
    <w:rsid w:val="00A43051"/>
    <w:rsid w:val="00A45AF2"/>
    <w:rsid w:val="00A7097D"/>
    <w:rsid w:val="00A85F18"/>
    <w:rsid w:val="00AB0D5B"/>
    <w:rsid w:val="00B31EB8"/>
    <w:rsid w:val="00B31FC0"/>
    <w:rsid w:val="00B764CA"/>
    <w:rsid w:val="00BA6055"/>
    <w:rsid w:val="00C06908"/>
    <w:rsid w:val="00C5290D"/>
    <w:rsid w:val="00C537DF"/>
    <w:rsid w:val="00C72D64"/>
    <w:rsid w:val="00C77032"/>
    <w:rsid w:val="00CC3832"/>
    <w:rsid w:val="00D04023"/>
    <w:rsid w:val="00D52E1E"/>
    <w:rsid w:val="00D92E4D"/>
    <w:rsid w:val="00DA464D"/>
    <w:rsid w:val="00DE27D6"/>
    <w:rsid w:val="00DE759F"/>
    <w:rsid w:val="00E010C1"/>
    <w:rsid w:val="00E03CD3"/>
    <w:rsid w:val="00E04A05"/>
    <w:rsid w:val="00E203CB"/>
    <w:rsid w:val="00E6395B"/>
    <w:rsid w:val="00E71EF7"/>
    <w:rsid w:val="00E86294"/>
    <w:rsid w:val="00EB4A75"/>
    <w:rsid w:val="00EC4869"/>
    <w:rsid w:val="00EE5405"/>
    <w:rsid w:val="00F37446"/>
    <w:rsid w:val="00FB3F94"/>
    <w:rsid w:val="00FD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2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D3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E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7429"/>
  </w:style>
  <w:style w:type="paragraph" w:styleId="a8">
    <w:name w:val="footer"/>
    <w:basedOn w:val="a"/>
    <w:link w:val="a9"/>
    <w:uiPriority w:val="99"/>
    <w:unhideWhenUsed/>
    <w:rsid w:val="003E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7429"/>
  </w:style>
  <w:style w:type="character" w:styleId="aa">
    <w:name w:val="Strong"/>
    <w:basedOn w:val="a0"/>
    <w:uiPriority w:val="22"/>
    <w:qFormat/>
    <w:rsid w:val="00EE5405"/>
    <w:rPr>
      <w:b/>
      <w:bCs/>
    </w:rPr>
  </w:style>
  <w:style w:type="character" w:styleId="ab">
    <w:name w:val="Hyperlink"/>
    <w:basedOn w:val="a0"/>
    <w:uiPriority w:val="99"/>
    <w:unhideWhenUsed/>
    <w:rsid w:val="009942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2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D3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E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7429"/>
  </w:style>
  <w:style w:type="paragraph" w:styleId="a8">
    <w:name w:val="footer"/>
    <w:basedOn w:val="a"/>
    <w:link w:val="a9"/>
    <w:uiPriority w:val="99"/>
    <w:unhideWhenUsed/>
    <w:rsid w:val="003E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7429"/>
  </w:style>
  <w:style w:type="character" w:styleId="aa">
    <w:name w:val="Strong"/>
    <w:basedOn w:val="a0"/>
    <w:uiPriority w:val="22"/>
    <w:qFormat/>
    <w:rsid w:val="00EE5405"/>
    <w:rPr>
      <w:b/>
      <w:bCs/>
    </w:rPr>
  </w:style>
  <w:style w:type="character" w:styleId="ab">
    <w:name w:val="Hyperlink"/>
    <w:basedOn w:val="a0"/>
    <w:uiPriority w:val="99"/>
    <w:unhideWhenUsed/>
    <w:rsid w:val="009942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107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85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3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90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8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3066">
          <w:marLeft w:val="0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44937">
          <w:marLeft w:val="0"/>
          <w:marRight w:val="0"/>
          <w:marTop w:val="0"/>
          <w:marBottom w:val="326"/>
          <w:divBdr>
            <w:top w:val="single" w:sz="6" w:space="12" w:color="FFECCC"/>
            <w:left w:val="single" w:sz="6" w:space="31" w:color="FFECCC"/>
            <w:bottom w:val="single" w:sz="6" w:space="12" w:color="FFECCC"/>
            <w:right w:val="single" w:sz="6" w:space="12" w:color="FFECCC"/>
          </w:divBdr>
        </w:div>
        <w:div w:id="11703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437">
          <w:marLeft w:val="0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777">
          <w:marLeft w:val="0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2529">
          <w:marLeft w:val="0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229">
          <w:marLeft w:val="0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249">
          <w:marLeft w:val="0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57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1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60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64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79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97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89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31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5970639/e95022db55208429fbafff02356d7a6a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base.garant.ru/74541661/53f89421bbdaf741eb2d1ecc4ddb4c3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4541661/53f89421bbdaf741eb2d1ecc4ddb4c33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70291362/4fc81bd708668197a291fdc62307ca7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0105807/646cd7e8cf19279b078cdec8fcd89ce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13</cp:revision>
  <dcterms:created xsi:type="dcterms:W3CDTF">2023-09-25T18:47:00Z</dcterms:created>
  <dcterms:modified xsi:type="dcterms:W3CDTF">2023-12-10T18:47:00Z</dcterms:modified>
</cp:coreProperties>
</file>