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сельского поселения «Деревня Погореловка»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6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д. Погореловка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6"/>
          <w:lang w:val="en-US" w:eastAsia="ru-RU"/>
        </w:rPr>
        <w:t>28</w:t>
      </w:r>
      <w:r>
        <w:rPr>
          <w:rFonts w:ascii="Times New Roman" w:hAnsi="Times New Roman" w:eastAsia="Times New Roman" w:cs="Times New Roman"/>
          <w:sz w:val="24"/>
          <w:szCs w:val="26"/>
          <w:lang w:eastAsia="ru-RU"/>
        </w:rPr>
        <w:t>» сентября 2023 года                                                                                                         №</w:t>
      </w:r>
      <w:r>
        <w:rPr>
          <w:rFonts w:hint="default" w:ascii="Times New Roman" w:hAnsi="Times New Roman" w:eastAsia="Times New Roman" w:cs="Times New Roman"/>
          <w:sz w:val="24"/>
          <w:szCs w:val="26"/>
          <w:lang w:val="en-US" w:eastAsia="ru-RU"/>
        </w:rPr>
        <w:t>34</w:t>
      </w:r>
    </w:p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07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сельского поселения «Деревня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/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"Деревня Погореловка" от 30 декабря 2022 года, руководствуясь Уставом сельского поселения, постановляет: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ПОСТАНОВЛЯЕТ: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 (приложение).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района в информационно-телекоммуникационной сети "Интернет" по адресу: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https://peremyshl40.gosuslugi.ru/o-munitsipalnom-obrazovanii/selskie-poseleniya/sp-derevnya-pokrovskoe/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официального обнародования муниципальных правовых актов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/>
    <w:p/>
    <w:p/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en-US"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            Л</w:t>
      </w:r>
      <w:r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en-US" w:eastAsia="ru-RU"/>
        </w:rPr>
        <w:t>.Г.Аверина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Приложение к постановлению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администрации сельского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поселения «Деревня Покровское»</w:t>
      </w:r>
    </w:p>
    <w:p>
      <w:pPr>
        <w:pStyle w:val="7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от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28.09.2023г.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№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34</w:t>
      </w:r>
      <w:bookmarkStart w:id="3" w:name="_GoBack"/>
      <w:bookmarkEnd w:id="3"/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ЗАХОРОНЕНИЙ НА КЛАДБИЩАХ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проведения инвентаризации земельных участков и мест захоронений на кладбищах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  (далее - кладбища).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Инвентаризация земельных участков и мест захоронений проводится не реже одного раза в три года.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целями инвентаризации земельных участков и мест захоронений являются: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 проведении инвентаризации, сроках ее проведения, перечне кладбищ, на которых планируется провести инвентаризацию, составе инвентаризационной комиссии устанавливается распоряжением главы администрации сельского поселения «Деревня По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гореловка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t xml:space="preserve">  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содержать: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r>
        <w:fldChar w:fldCharType="begin"/>
      </w:r>
      <w:r>
        <w:instrText xml:space="preserve"> HYPERLINK \l "P120" \h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приложении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захоронений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Калужской  области.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>
      <w:pPr>
        <w:pStyle w:val="7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пункте 24 </w:t>
      </w:r>
      <w:r>
        <w:rPr>
          <w:rFonts w:ascii="Times New Roman" w:hAnsi="Times New Roman" w:cs="Times New Roman"/>
          <w:sz w:val="24"/>
          <w:szCs w:val="24"/>
        </w:rPr>
        <w:t>настоящего Порядка, хранится в уполномоченном учреждении.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>
      <w:pPr>
        <w:pStyle w:val="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>
      <w:pPr>
        <w:pStyle w:val="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>
      <w:pPr>
        <w:pStyle w:val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кладбищах сельского поселения «Деревня Покровское»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457971"/>
    <w:rsid w:val="004D043F"/>
    <w:rsid w:val="005A5FCB"/>
    <w:rsid w:val="007B42FD"/>
    <w:rsid w:val="00870201"/>
    <w:rsid w:val="009E2F6B"/>
    <w:rsid w:val="00B440CC"/>
    <w:rsid w:val="00C16F92"/>
    <w:rsid w:val="00CE7557"/>
    <w:rsid w:val="00D979D4"/>
    <w:rsid w:val="00F14BA2"/>
    <w:rsid w:val="00FD6091"/>
    <w:rsid w:val="6D345D9A"/>
    <w:rsid w:val="6DA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2"/>
      <w:lang w:val="ru-RU" w:eastAsia="ru-RU" w:bidi="ar-SA"/>
    </w:r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2563</Words>
  <Characters>14615</Characters>
  <Lines>121</Lines>
  <Paragraphs>34</Paragraphs>
  <TotalTime>9</TotalTime>
  <ScaleCrop>false</ScaleCrop>
  <LinksUpToDate>false</LinksUpToDate>
  <CharactersWithSpaces>17144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2023-09-15T05:58:00Z</dcterms:created>
  <dc:creator>Пользователь</dc:creator>
  <cp:lastModifiedBy>Погореловка</cp:lastModifiedBy>
  <cp:lastPrinted>2023-09-28T08:15:31Z</cp:lastPrinted>
  <dcterms:modified xsi:type="dcterms:W3CDTF">2023-09-28T08:18:07Z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27957B7169BE4DE2AE8D3CFF61DC5680_13</vt:lpwstr>
  </property>
</Properties>
</file>