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(исполнительно-распорядительный орган) 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сельского поселения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«Деревня Покровское»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д.</w:t>
      </w:r>
      <w:r w:rsidR="009D099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Покровское</w:t>
      </w:r>
    </w:p>
    <w:p w:rsidR="00BF073A" w:rsidRDefault="00BF073A" w:rsidP="00BF073A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BF073A" w:rsidRDefault="000614CE" w:rsidP="00BF073A">
      <w:pPr>
        <w:suppressAutoHyphens/>
        <w:spacing w:line="240" w:lineRule="exact"/>
        <w:ind w:left="567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от «25» февраля 2025</w:t>
      </w:r>
      <w:r w:rsidR="00BF073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года                                 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 №8</w:t>
      </w:r>
      <w:r w:rsidR="00BF073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 в муниципальную программу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«Комплексное </w:t>
      </w:r>
      <w:r w:rsidR="00952E56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систем</w:t>
      </w:r>
      <w:r w:rsidR="00953F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 инфраструктуры</w:t>
      </w:r>
    </w:p>
    <w:p w:rsidR="00D72404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D72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«Деревня Покровское</w:t>
      </w:r>
      <w:r w:rsidR="00952E56">
        <w:rPr>
          <w:rFonts w:ascii="Times New Roman" w:eastAsia="Calibri" w:hAnsi="Times New Roman" w:cs="Times New Roman"/>
          <w:b/>
          <w:bCs/>
          <w:sz w:val="28"/>
          <w:szCs w:val="28"/>
        </w:rPr>
        <w:t>», утвержденную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постановлением администрации СП «Деревня Покровское»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27.01.2020 года №5</w:t>
      </w:r>
    </w:p>
    <w:p w:rsidR="00BF073A" w:rsidRPr="00894F32" w:rsidRDefault="00894F32" w:rsidP="00894F32">
      <w:pPr>
        <w:shd w:val="clear" w:color="auto" w:fill="FFFFFF"/>
        <w:spacing w:before="317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94F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ского поселения «Деревня Покровское</w:t>
      </w:r>
      <w:r w:rsidRPr="00894F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администрация сель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ского поселения «Деревня Покровское</w:t>
      </w:r>
      <w:r w:rsidRPr="00894F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», </w:t>
      </w:r>
      <w:r w:rsidR="00952E56" w:rsidRPr="00894F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Соглашения от</w:t>
      </w:r>
      <w:r w:rsidRPr="00894F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30.12.2022 г. «О передаче органами местного самоуправления муниципального района «Перемышльский район» органам местного самоуправления сельских поселений, входящих в состав муниципального района «Перемышльский район» осуществления части своих</w:t>
      </w:r>
      <w:r w:rsidR="00BF073A" w:rsidRPr="00894F3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</w:p>
    <w:p w:rsidR="00BF073A" w:rsidRDefault="00BF073A" w:rsidP="00BF073A">
      <w:pPr>
        <w:shd w:val="clear" w:color="auto" w:fill="FFFFFF"/>
        <w:spacing w:before="326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:rsidR="00BF073A" w:rsidRDefault="00BF073A" w:rsidP="00BF073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1. Внести 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муниципальную программу </w:t>
      </w:r>
      <w:r>
        <w:rPr>
          <w:rFonts w:ascii="Times New Roman" w:eastAsia="Calibri" w:hAnsi="Times New Roman" w:cs="Times New Roman"/>
          <w:bCs/>
          <w:sz w:val="28"/>
          <w:szCs w:val="28"/>
        </w:rPr>
        <w:t>«Комплексное развитие транспортной инфраструктуры муниципального образования сельского поселения»,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утвержденную постановлением администрации СП «Деревня Покровское» от 27.01.2020 года №5 следующие изменения</w:t>
      </w:r>
    </w:p>
    <w:p w:rsidR="00BF073A" w:rsidRDefault="00224772" w:rsidP="00BF073A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952E56">
        <w:rPr>
          <w:rFonts w:ascii="Times New Roman" w:eastAsia="Calibri" w:hAnsi="Times New Roman" w:cs="Times New Roman"/>
          <w:bCs/>
          <w:sz w:val="28"/>
          <w:szCs w:val="28"/>
        </w:rPr>
        <w:t>Изложить паспорт</w:t>
      </w:r>
      <w:r w:rsidR="00BF0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F073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муниципальной программы </w:t>
      </w:r>
      <w:r w:rsidR="00BF073A">
        <w:rPr>
          <w:rFonts w:ascii="Times New Roman" w:eastAsia="Calibri" w:hAnsi="Times New Roman" w:cs="Times New Roman"/>
          <w:bCs/>
          <w:sz w:val="28"/>
          <w:szCs w:val="28"/>
        </w:rPr>
        <w:t xml:space="preserve">«Комплексное развитие транспортной инфраструктуры муниципального образования сельского поселения», в новой редакции </w:t>
      </w:r>
    </w:p>
    <w:p w:rsidR="00BF073A" w:rsidRDefault="00BF073A" w:rsidP="00BF073A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(прилагается).</w:t>
      </w:r>
    </w:p>
    <w:p w:rsidR="00BF073A" w:rsidRDefault="00BF073A" w:rsidP="00BF073A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361E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ования.</w:t>
      </w:r>
    </w:p>
    <w:p w:rsidR="00BF073A" w:rsidRDefault="00BF073A" w:rsidP="00BF073A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 выполнением настоящ</w:t>
      </w:r>
      <w:r w:rsidR="00361E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его постановления оставляю за собой.</w:t>
      </w:r>
    </w:p>
    <w:p w:rsidR="00BF073A" w:rsidRDefault="00BF073A" w:rsidP="00BF073A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F073A" w:rsidRDefault="00361E5E" w:rsidP="00BF073A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Врио </w:t>
      </w:r>
      <w:r w:rsidR="00BF073A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Глава администрации </w:t>
      </w:r>
    </w:p>
    <w:p w:rsidR="00BF073A" w:rsidRDefault="00BF073A" w:rsidP="00BF073A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BF073A" w:rsidRDefault="00BF073A" w:rsidP="00BF073A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 </w:t>
      </w:r>
    </w:p>
    <w:p w:rsidR="00361E5E" w:rsidRDefault="00361E5E" w:rsidP="00BF073A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073A" w:rsidRDefault="00BF073A" w:rsidP="00BF073A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BF073A" w:rsidRDefault="00BF073A" w:rsidP="00BF073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</w:t>
      </w:r>
    </w:p>
    <w:p w:rsidR="00BF073A" w:rsidRDefault="00BF073A" w:rsidP="00BF073A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Покровское» </w:t>
      </w:r>
    </w:p>
    <w:p w:rsidR="00BF073A" w:rsidRDefault="00361E5E" w:rsidP="00BF073A">
      <w:pPr>
        <w:keepNext/>
        <w:spacing w:after="0" w:line="240" w:lineRule="auto"/>
        <w:ind w:left="5517" w:right="-1" w:firstLine="708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8 от 28 февраля 2025</w:t>
      </w:r>
      <w:r w:rsidR="00BF0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04BCE" w:rsidRDefault="00404BCE" w:rsidP="00404B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404BCE" w:rsidRDefault="00404BCE" w:rsidP="00404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404BCE" w:rsidRDefault="00404BCE" w:rsidP="00404B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Покровское»</w:t>
      </w:r>
    </w:p>
    <w:p w:rsidR="00404BCE" w:rsidRDefault="00404BCE" w:rsidP="0040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«Комплексное развитие транспортной инфраструктуры муниципального образования сельского поселения»  </w:t>
      </w:r>
    </w:p>
    <w:p w:rsidR="00404BCE" w:rsidRDefault="00404BCE" w:rsidP="00404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период 2020-2027 годы</w:t>
      </w:r>
    </w:p>
    <w:p w:rsidR="00404BCE" w:rsidRDefault="00404BCE" w:rsidP="00404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55"/>
        <w:gridCol w:w="7375"/>
      </w:tblGrid>
      <w:tr w:rsidR="00404BCE" w:rsidTr="00404BCE">
        <w:trPr>
          <w:trHeight w:val="117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Деревня </w:t>
            </w:r>
            <w:r w:rsidR="00952E5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Покровское</w:t>
            </w:r>
            <w:r w:rsidR="00952E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4BCE" w:rsidTr="00404BCE">
        <w:trPr>
          <w:trHeight w:val="874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4BCE" w:rsidTr="00404BCE">
        <w:trPr>
          <w:trHeight w:val="960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="00952E56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Деревня </w:t>
            </w:r>
            <w:r w:rsidR="00952E5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Покровское</w:t>
            </w:r>
            <w:r w:rsidR="00952E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муниципальный район «Перемышльский район»</w:t>
            </w:r>
          </w:p>
        </w:tc>
      </w:tr>
      <w:tr w:rsidR="00404BCE" w:rsidTr="00404BCE">
        <w:trPr>
          <w:trHeight w:val="92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безопасность, качество и эффективность транспортного обслуживания населения, юридических лиц и индивидуальных предпринимателей городского поселения;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доступность объектов транспортной </w:t>
            </w:r>
            <w:r w:rsidR="00952E56">
              <w:rPr>
                <w:rFonts w:ascii="Times New Roman" w:hAnsi="Times New Roman" w:cs="Times New Roman"/>
                <w:sz w:val="24"/>
                <w:szCs w:val="24"/>
              </w:rPr>
              <w:t>инфраструктуры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 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транспортной инфраструктуры;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более комфортных условий проживания населения городского поселения;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-строительство, реконструкция и капитальный ремонт автомобильных дорог общего пользования местного значения с твердым покрытием на территории сельского </w:t>
            </w:r>
            <w:r w:rsidR="00952E56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Деревня Покровское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4BCE" w:rsidTr="00404BCE">
        <w:trPr>
          <w:trHeight w:val="95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реконструкция автомобильных дорог общего пользования местного значения, приобретение материалов;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 общего пользования местного значения, находящихся в неудовлетворительном и аварийном состоянии, в соответствии с утвержденным перечнем;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 (установка знаков,  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знаков безопасности, устройство искусственных неровностей)</w:t>
            </w:r>
          </w:p>
        </w:tc>
      </w:tr>
    </w:tbl>
    <w:p w:rsidR="00404BCE" w:rsidRDefault="00404BCE" w:rsidP="00404BCE">
      <w:pPr>
        <w:spacing w:after="0"/>
        <w:rPr>
          <w:rFonts w:ascii="Times New Roman" w:hAnsi="Times New Roman" w:cs="Times New Roman"/>
          <w:sz w:val="24"/>
          <w:szCs w:val="24"/>
        </w:rPr>
        <w:sectPr w:rsidR="00404BCE">
          <w:pgSz w:w="11906" w:h="16838"/>
          <w:pgMar w:top="851" w:right="567" w:bottom="851" w:left="1418" w:header="708" w:footer="708" w:gutter="0"/>
          <w:cols w:space="720"/>
        </w:sectPr>
      </w:pPr>
    </w:p>
    <w:tbl>
      <w:tblPr>
        <w:tblW w:w="1341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55"/>
        <w:gridCol w:w="1053"/>
        <w:gridCol w:w="1055"/>
        <w:gridCol w:w="1054"/>
        <w:gridCol w:w="1053"/>
        <w:gridCol w:w="1054"/>
        <w:gridCol w:w="1054"/>
        <w:gridCol w:w="1184"/>
        <w:gridCol w:w="1649"/>
        <w:gridCol w:w="1699"/>
      </w:tblGrid>
      <w:tr w:rsidR="00404BCE" w:rsidTr="00404BCE">
        <w:trPr>
          <w:trHeight w:val="955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0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4BCE" w:rsidTr="00404BCE">
        <w:trPr>
          <w:trHeight w:val="2881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10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Программы являются: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показателям;  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пользования местного значения, введенных в эксплуатацию после строительства и реконструкции; 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удельного веса дорог, нуждающихся в капитальном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ремонте (реконструкции);</w:t>
            </w:r>
          </w:p>
        </w:tc>
      </w:tr>
      <w:tr w:rsidR="00404BCE" w:rsidTr="00404BCE">
        <w:trPr>
          <w:trHeight w:val="2881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10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2020 -2027 г.г.</w:t>
            </w:r>
          </w:p>
        </w:tc>
      </w:tr>
      <w:tr w:rsidR="00404BCE" w:rsidTr="00404BCE">
        <w:trPr>
          <w:trHeight w:val="2744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 w:rsidP="00404BCE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за счет бюджетных ассигнований всего, в том числе по годам и источникам финансирования, в том числе:</w:t>
            </w:r>
          </w:p>
        </w:tc>
        <w:tc>
          <w:tcPr>
            <w:tcW w:w="10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2020г.-269,8</w:t>
            </w:r>
          </w:p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2021г.-599,8</w:t>
            </w:r>
          </w:p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2022г.-994,8</w:t>
            </w:r>
          </w:p>
          <w:p w:rsidR="00404BCE" w:rsidRDefault="00511F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2023г.-1358,8</w:t>
            </w:r>
          </w:p>
          <w:p w:rsidR="00404BCE" w:rsidRDefault="00511F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2024г.-2614,3</w:t>
            </w:r>
          </w:p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2025г.-334,0</w:t>
            </w:r>
          </w:p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2026г.-334,0</w:t>
            </w:r>
          </w:p>
          <w:p w:rsidR="00404BCE" w:rsidRDefault="00404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2027г.-334,0</w:t>
            </w:r>
          </w:p>
          <w:p w:rsidR="00404BCE" w:rsidRDefault="00511F4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6839,5</w:t>
            </w:r>
            <w:r w:rsidR="0040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</w:t>
            </w:r>
            <w:r w:rsidR="00952E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Покровское», ежегодно уточняются после принятия решения Сельской Думы о бюджете муниципального образования на очередной финансовый год и плановый период.</w:t>
            </w:r>
          </w:p>
        </w:tc>
      </w:tr>
      <w:tr w:rsidR="00404BCE" w:rsidTr="00404BCE">
        <w:trPr>
          <w:trHeight w:val="456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404BCE" w:rsidTr="00404BCE">
        <w:trPr>
          <w:trHeight w:val="24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полномочий района по дорожной деятельности в отношении автомобильных дорог местного значения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5772</w:t>
            </w:r>
            <w:r w:rsidR="00404BCE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1014,3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1891,</w:t>
            </w:r>
            <w:r w:rsidR="00404B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334.0</w:t>
            </w:r>
          </w:p>
        </w:tc>
      </w:tr>
      <w:tr w:rsidR="00404BCE" w:rsidTr="00404BCE">
        <w:trPr>
          <w:trHeight w:val="242"/>
        </w:trPr>
        <w:tc>
          <w:tcPr>
            <w:tcW w:w="100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04BCE" w:rsidTr="00404BCE">
        <w:trPr>
          <w:trHeight w:val="24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бюджетов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1067,3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344,5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722,8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BCE" w:rsidTr="00404BCE">
        <w:trPr>
          <w:trHeight w:val="242"/>
        </w:trPr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районного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6839,5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599,8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994,8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1358</w:t>
            </w:r>
            <w:r w:rsidR="00404BCE">
              <w:rPr>
                <w:rFonts w:ascii="Times New Roman" w:hAnsi="Times New Roman" w:cs="Times New Roman"/>
                <w:color w:val="000000"/>
              </w:rPr>
              <w:t>,8</w:t>
            </w:r>
          </w:p>
        </w:tc>
        <w:tc>
          <w:tcPr>
            <w:tcW w:w="1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2614,3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BCE" w:rsidRDefault="00511F4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4BCE" w:rsidRDefault="00404B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BCE" w:rsidRDefault="00511F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334,0</w:t>
            </w:r>
          </w:p>
        </w:tc>
      </w:tr>
      <w:tr w:rsidR="00404BCE" w:rsidTr="00404BCE">
        <w:trPr>
          <w:trHeight w:val="237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Ожидаемые результаты реализации  </w:t>
            </w:r>
          </w:p>
          <w:p w:rsidR="00404BCE" w:rsidRDefault="00404B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86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период реализации муниципальной долгосрочной </w:t>
            </w:r>
            <w:r w:rsidR="00952E56">
              <w:rPr>
                <w:rFonts w:ascii="Times New Roman" w:hAnsi="Times New Roman" w:cs="Times New Roman"/>
                <w:sz w:val="24"/>
                <w:szCs w:val="24"/>
              </w:rPr>
              <w:t>программы планируется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снизить долю автомобильных дорог местного значения, не соответствующих нормативным требованиям.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Планируется провести работы по ремонту и капитальному ремонту всех автомобильных дорог.</w:t>
            </w:r>
          </w:p>
          <w:p w:rsidR="00404BCE" w:rsidRDefault="00404B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надежности и безопасности системы транспортной инфраструктуры. </w:t>
            </w:r>
          </w:p>
        </w:tc>
      </w:tr>
    </w:tbl>
    <w:p w:rsidR="00404BCE" w:rsidRDefault="00404BCE" w:rsidP="00404B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CE" w:rsidRDefault="00404BCE" w:rsidP="00404B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04BCE" w:rsidRDefault="00404BCE" w:rsidP="00404BC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404BCE">
          <w:pgSz w:w="16838" w:h="11906" w:orient="landscape"/>
          <w:pgMar w:top="1418" w:right="851" w:bottom="567" w:left="851" w:header="709" w:footer="709" w:gutter="0"/>
          <w:cols w:space="720"/>
        </w:sect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ru-RU"/>
        </w:rPr>
        <w:t>Обобщенная характеристика основных мероприятий муниципальной программы</w:t>
      </w:r>
    </w:p>
    <w:p w:rsidR="00BF073A" w:rsidRDefault="00BF073A" w:rsidP="00BF0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BF073A" w:rsidRDefault="00BF073A" w:rsidP="00BF073A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Социально - экономическое состояние сельского поселения «Деревня Покровское»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Сельское поселение «Деревня Покровское»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расположено в юго-западной части Перемышльского района Калужской области.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Территория составляет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6534,9</w:t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га</w:t>
      </w:r>
      <w:r w:rsidR="00952E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5,7% от площади Перемышльского района (115600 га)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Население се</w:t>
      </w:r>
      <w:r w:rsidR="009D09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льского поселения составляет 511 чел. на 01.01. 2024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сельского поселения «Деревня Покровское» входят 11 населенных пунктов: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Покровское, деревня Афанасьево, деревня Верхнее Алопово, деревня Григорово, деревн</w:t>
      </w:r>
      <w:r w:rsidR="0095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Кожемякино, деревня Корчевские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ворики, деревня Комсино, деревня Михайловское, деревня Нижнее Алопово, деревня Рядовка, деревня Щепихино.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Центром сельского поселения является д.Покровское, где проживает около 60% всего населения муниципального образования.</w:t>
      </w:r>
    </w:p>
    <w:p w:rsidR="00BF073A" w:rsidRDefault="00BF073A" w:rsidP="00BF0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Расстояние от центра поселения до районного центра (с. Перемышль) – 07 км, до регионального центра (г. Калуга) – 37 км. 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поселения представлена одноэтажными домовладениями, многоквартирными домами, зданиями производственного и социального назначения, торговой сферой.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</w:t>
      </w:r>
      <w:r w:rsidR="00952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дорог местного значения – 14,2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BF073A" w:rsidRDefault="00BF073A" w:rsidP="00BF073A">
      <w:pPr>
        <w:numPr>
          <w:ilvl w:val="1"/>
          <w:numId w:val="3"/>
        </w:numPr>
        <w:shd w:val="clear" w:color="auto" w:fill="FFFFFF"/>
        <w:spacing w:after="0" w:line="10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деятельности в сфере транспорта, оценка транспортного спроса.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73A" w:rsidRDefault="00BF073A" w:rsidP="00BF073A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предприятия на территории поселения отсутствуют. Основным видом пассажирского транспорта поселения является автобусное сообщение. На территории поселения действуют один пассажирский автотранспортный маршрут. В населенном пункте регулярный внутри поселковый транспорт отсутствует. Большинство трудовых передвижений в поселении приходится на личный транспорт и пешеходные сообщения.</w:t>
      </w:r>
    </w:p>
    <w:p w:rsidR="00BF073A" w:rsidRDefault="00BF073A" w:rsidP="00BF0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основе оценки транспортного спроса лежит анализ передвижения населения к объектам тяготения. </w:t>
      </w:r>
    </w:p>
    <w:p w:rsidR="00BF073A" w:rsidRDefault="00BF073A" w:rsidP="00BF0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выделить основные группы объектов тяготения: </w:t>
      </w:r>
    </w:p>
    <w:p w:rsidR="00BF073A" w:rsidRDefault="00BF073A" w:rsidP="00BF073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объекты социально сферы;</w:t>
      </w:r>
    </w:p>
    <w:p w:rsidR="00BF073A" w:rsidRDefault="00BF073A" w:rsidP="00BF073A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- объекты трудовой деятельности;</w:t>
      </w:r>
    </w:p>
    <w:p w:rsidR="00BF073A" w:rsidRDefault="00BF073A" w:rsidP="00BF07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узловые объекты транспортной инфраструктуры.</w:t>
      </w:r>
    </w:p>
    <w:p w:rsidR="00BF073A" w:rsidRDefault="00BF073A" w:rsidP="00BF07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Характеристика функционирования и показатели работы транспортной инфраструктуры по видам транспорта.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Автомобилизация поселения</w:t>
      </w:r>
      <w:r w:rsidR="001D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(185 единиц/1000 человек в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 оценивается как средняя (при уровне автомобилизации. В Российской Федерации 270 единиц на 1000 человек), что обусловлено наличием автобусного сообщения с районным центром. Грузовой транспорт в основном представлен сельскохозяйственной техникой. В основе формирования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населенных пунктов лежат: основная улица, второстепенные улицы, проезды, хозяйственные проезды.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Характеристика сети дорог поселения, параметры дорожного движения, оценка качества содержания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Дорожно-транспортная сеть поселения состоит из дорог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категории, предназначенных не для скоростного движения. В таблице 1. приведен перечень и характеристика дорог местного значения. Содержание автомобильных дорог осуществляется подрядными организациями по муниципальным контрактам. Проверка качества содержания дорог по согласованному графику, в соответствии с установленными критериями. </w:t>
      </w:r>
    </w:p>
    <w:p w:rsidR="00BF073A" w:rsidRDefault="00BF073A" w:rsidP="00BF07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автодорожной инфраструктуры осуществлялось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BF073A" w:rsidRDefault="00BF073A" w:rsidP="00BF073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протяжённ</w:t>
      </w:r>
      <w:r w:rsidR="0095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ость дорожной сети составляет 14,2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км. Все дороги требуют асфальтированного </w:t>
      </w:r>
      <w:r w:rsidR="00952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покрытия,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 ямочного и капитального ремонта. </w:t>
      </w:r>
    </w:p>
    <w:p w:rsidR="00BF073A" w:rsidRDefault="00BF073A" w:rsidP="00BF073A">
      <w:pPr>
        <w:widowControl w:val="0"/>
        <w:spacing w:after="0" w:line="240" w:lineRule="auto"/>
        <w:jc w:val="right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Таблица 1. </w:t>
      </w:r>
    </w:p>
    <w:p w:rsidR="00BF073A" w:rsidRDefault="00BF073A" w:rsidP="00BF073A">
      <w:pPr>
        <w:widowControl w:val="0"/>
        <w:spacing w:after="0" w:line="240" w:lineRule="auto"/>
        <w:jc w:val="center"/>
        <w:rPr>
          <w:rFonts w:ascii="Calibri" w:eastAsia="Times New Roman" w:hAnsi="Calibri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Характеристика автомобильных дорог местного значения</w:t>
      </w:r>
    </w:p>
    <w:tbl>
      <w:tblPr>
        <w:tblStyle w:val="2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693"/>
      </w:tblGrid>
      <w:tr w:rsidR="00BF073A" w:rsidTr="00BF073A">
        <w:trPr>
          <w:trHeight w:val="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дорог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покрытия, протяженность, км</w:t>
            </w:r>
          </w:p>
        </w:tc>
      </w:tr>
      <w:tr w:rsidR="00BF073A" w:rsidTr="00BF073A">
        <w:trPr>
          <w:trHeight w:val="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по д.Покровское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894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894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Асфальтное, </w:t>
            </w:r>
            <w:r w:rsidR="00BF073A">
              <w:rPr>
                <w:rFonts w:ascii="Times New Roman" w:hAnsi="Times New Roman"/>
                <w:sz w:val="24"/>
                <w:szCs w:val="24"/>
              </w:rPr>
              <w:t>бетонное Щебеночное</w:t>
            </w:r>
          </w:p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Рядовка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Щебеночное 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Нижнее Алопово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д.Вержнее Алопово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Кожемякино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д.Комсино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Михайловское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Афанасьево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BF073A">
        <w:trPr>
          <w:trHeight w:val="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 дорога по деревне Щепихино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Грунтовое</w:t>
            </w:r>
          </w:p>
        </w:tc>
      </w:tr>
      <w:tr w:rsidR="00BF073A" w:rsidTr="00894F32">
        <w:trPr>
          <w:trHeight w:val="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A" w:rsidRDefault="00BF0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3A" w:rsidRDefault="00BF0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73A" w:rsidRDefault="00BF073A" w:rsidP="00BF073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73A" w:rsidRDefault="00894F32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Итого: 14,2</w:t>
      </w:r>
      <w:r w:rsidR="00BF073A">
        <w:rPr>
          <w:rFonts w:ascii="Times New Roman" w:eastAsia="Calibri" w:hAnsi="Times New Roman" w:cs="Times New Roman"/>
          <w:b/>
          <w:sz w:val="24"/>
          <w:szCs w:val="24"/>
        </w:rPr>
        <w:t xml:space="preserve"> км из них с:</w:t>
      </w:r>
    </w:p>
    <w:p w:rsidR="00BF073A" w:rsidRDefault="00BF073A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Бетонным покрытием – 0,8</w:t>
      </w:r>
    </w:p>
    <w:p w:rsidR="00BF073A" w:rsidRDefault="00BF073A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Щебеночный покрытием – 3,6</w:t>
      </w:r>
    </w:p>
    <w:p w:rsidR="00BF073A" w:rsidRDefault="00BF073A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Грунтовых – 7,5</w:t>
      </w:r>
    </w:p>
    <w:p w:rsidR="00894F32" w:rsidRDefault="00894F32" w:rsidP="00BF073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Асфльтное-2,3 км.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парк </w:t>
      </w:r>
      <w:r w:rsidR="00952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состоит из легковых автомобилей, принадлежащих частным лицам. Детальная информация видов трансп</w:t>
      </w:r>
      <w:r w:rsidR="001D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орта </w:t>
      </w:r>
      <w:r w:rsidR="00894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 За период 2020-2027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 имеются у всех объектов социальной инфраструктуры и у административных зданий хозяйствующих организаций. 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Характеристика работы транспортных средств общего пользования, включая анализ пассажиропотока.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Характеристика пешеходного и велосипедного передвижения.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 Характеристика движения грузовых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дорожно-транспортную сеть поселения и уровень аварийности.</w:t>
      </w:r>
    </w:p>
    <w:p w:rsidR="00BF073A" w:rsidRDefault="00BF073A" w:rsidP="00BF073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 Анализ уровня безопасности дорожного движения.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характерные факторы, неблагоприятно влияющие на окружающую среду и здоровье.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Загрязнение атмосферы.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Воздействие шума.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сложившуюся планировочную структуру поселения 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1.11. Характеристика существующих условий и перспектив развития и размещения транспортной инфраструктуры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 очередь существующих условий и перспектив развития и размещения транспортной инфраструктуры поселения предлагается: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вышеуказанных мероприятий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возрастет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1.12. Оценка нормативно-правовой базы, необходимой для функционирования и развития транспортной системы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документами, определяющими порядок функционирования и развития транспортной инфраструктуры, являются: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1.Градостроительный кодекс РФ от 29.12.2004г. №190-ФЗ (ред. от 30.12.2015г.);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3.Федеральный закон от 10.12.1995г. №196-ФЗ (ред. от 28.11.2015г.) «О безопасности дорожного движения»;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Правительства РФ от 23.10.1993г. №1090 (ред. от 21.01.2016г) «О правилах дорожного движения»;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6.Генеральный план сельского поселения «Деревня Покровское», утвержден решением сельской Думы СП «Деревня Покровское»;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1.13 Оценка финансирования транспортной инфраструктуры.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финансирования муниципального образования достаточно низкий. Денежные средства за последние 5 лет на финансирование транспортной инфраструктуры, в бюджете муниципального образования сельское поселение «Село калужская опытная сельскохозяйственная станция» предусматриваются в достаточно маленьком объеме.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2.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Прогноз социально-экономического и градостроительного развития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BF073A" w:rsidRDefault="00BF073A" w:rsidP="00BF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проживает 538 человек, в том числе: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трудоспособного возраста – 307 человек, дети до 18-летнего возраста – 97 человек. Динамика роста населения приведена в таблице 2.</w:t>
      </w:r>
    </w:p>
    <w:p w:rsidR="00BF073A" w:rsidRDefault="00BF073A" w:rsidP="00BF07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</w:t>
      </w:r>
    </w:p>
    <w:p w:rsidR="00BF073A" w:rsidRDefault="00BF073A" w:rsidP="00BF0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роста населения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3336"/>
        <w:gridCol w:w="1185"/>
        <w:gridCol w:w="1185"/>
        <w:gridCol w:w="1185"/>
        <w:gridCol w:w="696"/>
        <w:gridCol w:w="696"/>
        <w:gridCol w:w="740"/>
        <w:gridCol w:w="170"/>
      </w:tblGrid>
      <w:tr w:rsidR="009D0998" w:rsidTr="009D0998">
        <w:trPr>
          <w:gridAfter w:val="1"/>
          <w:wAfter w:w="88" w:type="pct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D0998" w:rsidTr="009D0998">
        <w:trPr>
          <w:gridAfter w:val="1"/>
          <w:wAfter w:w="88" w:type="pct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1D12B3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998" w:rsidTr="009D0998">
        <w:trPr>
          <w:gridAfter w:val="1"/>
          <w:wAfter w:w="88" w:type="pct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1D12B3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0998" w:rsidTr="009D0998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98" w:rsidRDefault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1D12B3" w:rsidP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8" w:rsidRDefault="009D0998" w:rsidP="009D099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73A" w:rsidRDefault="00BF073A" w:rsidP="00BF073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состояние дорог поселения.</w:t>
      </w:r>
    </w:p>
    <w:p w:rsidR="00BF073A" w:rsidRDefault="00BF073A" w:rsidP="00BF0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жилая площадь в сельском поселении составляет 33,7 тыс.кв. м.</w:t>
      </w:r>
    </w:p>
    <w:p w:rsidR="00BF073A" w:rsidRDefault="00BF073A" w:rsidP="00BF07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Население сельского поселения, в основном, имеет благоприятные условия проживания по параметрам жилищной обеспеченности.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Прогноз развития транспортной инфраструктуры по видам транспорта.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Прогноз развития дорожной сети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Прогноз уровня автомобилизации, параметров дорожного движения.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 (таблица 3).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Прогноз изменения уровня автомобилизации и количества автомобилей у населения на территории сельского поселения «»</w:t>
      </w: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511"/>
        <w:gridCol w:w="2674"/>
        <w:gridCol w:w="1232"/>
        <w:gridCol w:w="1232"/>
        <w:gridCol w:w="1232"/>
        <w:gridCol w:w="1232"/>
        <w:gridCol w:w="1232"/>
      </w:tblGrid>
      <w:tr w:rsidR="00BF073A" w:rsidTr="00BF073A">
        <w:trPr>
          <w:trHeight w:val="67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 (прогноз)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 (прогноз)</w:t>
            </w:r>
          </w:p>
        </w:tc>
      </w:tr>
      <w:tr w:rsidR="00BF073A" w:rsidTr="00BF073A">
        <w:trPr>
          <w:trHeight w:val="65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1D12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1D12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BF073A" w:rsidTr="00BF073A">
        <w:trPr>
          <w:trHeight w:val="892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BF073A" w:rsidTr="00BF073A">
        <w:trPr>
          <w:trHeight w:val="61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73A" w:rsidRDefault="00BF07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2.6. Прогноз показателей безопасности дорожного движения. 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Факторами, влияющими на снижение аварийности, станут установка дорожных знаков на аварийных участках дорог, обеспечение контроля за выполнением мероприятий по обеспечению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Прогноз негативного воздействия транспортной инфраструктуры на окружающую среду и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загрязнение атмосферы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3.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4. 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F073A" w:rsidRDefault="00BF073A" w:rsidP="00BF07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 Мероприятия по развитию сети дорог поселения.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тяготения, предлагается в период действия Программы реализовать следующий комплекс мероприятий по развитию дорог поселения (таблица 4)</w:t>
      </w:r>
    </w:p>
    <w:p w:rsidR="00BF073A" w:rsidRDefault="00BF073A" w:rsidP="00BF07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5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F073A" w:rsidRDefault="00BF073A" w:rsidP="00BF0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BF073A" w:rsidRDefault="00BF073A" w:rsidP="00BF073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A" w:rsidRDefault="00BF073A" w:rsidP="00BF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073A">
          <w:pgSz w:w="11906" w:h="16838"/>
          <w:pgMar w:top="851" w:right="567" w:bottom="851" w:left="1418" w:header="708" w:footer="708" w:gutter="0"/>
          <w:cols w:space="720"/>
        </w:sectPr>
      </w:pPr>
    </w:p>
    <w:p w:rsidR="005E261A" w:rsidRDefault="005E261A"/>
    <w:sectPr w:rsidR="005E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99A7061"/>
    <w:multiLevelType w:val="hybridMultilevel"/>
    <w:tmpl w:val="2B8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C4"/>
    <w:rsid w:val="000614CE"/>
    <w:rsid w:val="001D12B3"/>
    <w:rsid w:val="00224772"/>
    <w:rsid w:val="00361E5E"/>
    <w:rsid w:val="00404BCE"/>
    <w:rsid w:val="00511F48"/>
    <w:rsid w:val="005569FC"/>
    <w:rsid w:val="005E261A"/>
    <w:rsid w:val="00894F32"/>
    <w:rsid w:val="00952E56"/>
    <w:rsid w:val="00953F11"/>
    <w:rsid w:val="009D0998"/>
    <w:rsid w:val="00BF073A"/>
    <w:rsid w:val="00D72404"/>
    <w:rsid w:val="00D84FC4"/>
    <w:rsid w:val="00D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AFDDB-FF89-44B8-80BB-EE4F8A1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73A"/>
    <w:pPr>
      <w:ind w:left="720"/>
      <w:contextualSpacing/>
    </w:pPr>
  </w:style>
  <w:style w:type="table" w:customStyle="1" w:styleId="24">
    <w:name w:val="Сетка таблицы24"/>
    <w:basedOn w:val="a1"/>
    <w:uiPriority w:val="59"/>
    <w:rsid w:val="00BF07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3520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27</cp:revision>
  <cp:lastPrinted>2025-03-04T07:04:00Z</cp:lastPrinted>
  <dcterms:created xsi:type="dcterms:W3CDTF">2024-01-19T07:26:00Z</dcterms:created>
  <dcterms:modified xsi:type="dcterms:W3CDTF">2025-03-04T07:06:00Z</dcterms:modified>
</cp:coreProperties>
</file>