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47" w:rsidRPr="00D71B41" w:rsidRDefault="00B25847" w:rsidP="00D71B41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_GoBack"/>
      <w:bookmarkEnd w:id="0"/>
    </w:p>
    <w:p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Pr="00D71B41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B4040D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511FDF" w:rsidRDefault="00B4040D" w:rsidP="00B4040D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Горки</w:t>
      </w:r>
      <w:r w:rsidR="00511FDF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D71B4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«26» декабря 2022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</w:t>
      </w:r>
      <w:r w:rsidR="00D71B4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56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B404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Горки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B4040D">
        <w:rPr>
          <w:rFonts w:ascii="Times New Roman" w:hAnsi="Times New Roman" w:cs="Times New Roman"/>
          <w:sz w:val="26"/>
          <w:szCs w:val="26"/>
        </w:rPr>
        <w:t>тории сельского поселения «Деревня Горки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D71B41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И.о. 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:rsidR="00514D5B" w:rsidRPr="00A220F9" w:rsidRDefault="00D71B41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Т.П. Качан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B4040D">
        <w:rPr>
          <w:rFonts w:ascii="Times New Roman" w:hAnsi="Times New Roman" w:cs="Times New Roman"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D71B41">
        <w:rPr>
          <w:rFonts w:ascii="Times New Roman" w:hAnsi="Times New Roman" w:cs="Times New Roman"/>
          <w:sz w:val="26"/>
          <w:szCs w:val="26"/>
        </w:rPr>
        <w:t xml:space="preserve">26 декабря 2022 года </w:t>
      </w:r>
      <w:r w:rsidR="00511FDF">
        <w:rPr>
          <w:rFonts w:ascii="Times New Roman" w:hAnsi="Times New Roman" w:cs="Times New Roman"/>
          <w:sz w:val="26"/>
          <w:szCs w:val="26"/>
        </w:rPr>
        <w:t>№</w:t>
      </w:r>
      <w:r w:rsidR="00D71B41">
        <w:rPr>
          <w:rFonts w:ascii="Times New Roman" w:hAnsi="Times New Roman" w:cs="Times New Roman"/>
          <w:sz w:val="26"/>
          <w:szCs w:val="26"/>
        </w:rPr>
        <w:t xml:space="preserve"> 56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B4040D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«Деревня Горки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040D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>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 xml:space="preserve">го поселения </w:t>
      </w:r>
      <w:r w:rsidR="00B4040D">
        <w:rPr>
          <w:rFonts w:ascii="Times New Roman" w:hAnsi="Times New Roman" w:cs="Times New Roman"/>
          <w:bCs/>
          <w:sz w:val="26"/>
          <w:szCs w:val="26"/>
        </w:rPr>
        <w:t>«Деревня Горки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B4040D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B4040D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B4040D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B4040D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2022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9554D4" w:rsidRPr="003654DE" w:rsidRDefault="003654DE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4DE">
        <w:rPr>
          <w:rFonts w:ascii="Times New Roman" w:hAnsi="Times New Roman" w:cs="Times New Roman"/>
          <w:bCs/>
          <w:sz w:val="26"/>
          <w:szCs w:val="26"/>
        </w:rPr>
        <w:t>а) содержание придомовых территорий (окос травы)</w:t>
      </w:r>
      <w:r w:rsidR="009554D4" w:rsidRPr="003654DE">
        <w:rPr>
          <w:rFonts w:ascii="Times New Roman" w:hAnsi="Times New Roman" w:cs="Times New Roman"/>
          <w:bCs/>
          <w:sz w:val="26"/>
          <w:szCs w:val="26"/>
        </w:rPr>
        <w:t>;</w:t>
      </w:r>
    </w:p>
    <w:p w:rsidR="009554D4" w:rsidRPr="003654DE" w:rsidRDefault="003654DE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4DE">
        <w:rPr>
          <w:rFonts w:ascii="Times New Roman" w:hAnsi="Times New Roman" w:cs="Times New Roman"/>
          <w:bCs/>
          <w:sz w:val="26"/>
          <w:szCs w:val="26"/>
        </w:rPr>
        <w:t>б) складирование строительного мусора</w:t>
      </w:r>
      <w:r w:rsidR="009554D4" w:rsidRPr="003654DE">
        <w:rPr>
          <w:rFonts w:ascii="Times New Roman" w:hAnsi="Times New Roman" w:cs="Times New Roman"/>
          <w:bCs/>
          <w:sz w:val="26"/>
          <w:szCs w:val="26"/>
        </w:rPr>
        <w:t>;</w:t>
      </w:r>
    </w:p>
    <w:p w:rsidR="009554D4" w:rsidRPr="003654D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4DE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:rsidR="009554D4" w:rsidRPr="003654DE" w:rsidRDefault="003654DE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4DE">
        <w:rPr>
          <w:rFonts w:ascii="Times New Roman" w:hAnsi="Times New Roman" w:cs="Times New Roman"/>
          <w:bCs/>
          <w:sz w:val="26"/>
          <w:szCs w:val="26"/>
        </w:rPr>
        <w:t>а) нарушение пожарной безопасности по окосу травы</w:t>
      </w:r>
      <w:r w:rsidR="009554D4" w:rsidRPr="003654DE">
        <w:rPr>
          <w:rFonts w:ascii="Times New Roman" w:hAnsi="Times New Roman" w:cs="Times New Roman"/>
          <w:bCs/>
          <w:sz w:val="26"/>
          <w:szCs w:val="26"/>
        </w:rPr>
        <w:t>;</w:t>
      </w:r>
    </w:p>
    <w:p w:rsidR="009554D4" w:rsidRPr="009554D4" w:rsidRDefault="009554D4" w:rsidP="00365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B4040D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40D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B4040D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B4040D" w:rsidRPr="00B4040D">
        <w:rPr>
          <w:rFonts w:ascii="Times New Roman" w:hAnsi="Times New Roman" w:cs="Times New Roman"/>
          <w:bCs/>
          <w:sz w:val="26"/>
          <w:szCs w:val="26"/>
        </w:rPr>
        <w:t>году было выявлено 4</w:t>
      </w:r>
      <w:r w:rsidR="002F2EB8" w:rsidRPr="00B4040D">
        <w:rPr>
          <w:rFonts w:ascii="Times New Roman" w:hAnsi="Times New Roman" w:cs="Times New Roman"/>
          <w:bCs/>
          <w:sz w:val="26"/>
          <w:szCs w:val="26"/>
        </w:rPr>
        <w:t xml:space="preserve"> нар</w:t>
      </w:r>
      <w:r w:rsidR="00B4040D" w:rsidRPr="00B4040D">
        <w:rPr>
          <w:rFonts w:ascii="Times New Roman" w:hAnsi="Times New Roman" w:cs="Times New Roman"/>
          <w:bCs/>
          <w:sz w:val="26"/>
          <w:szCs w:val="26"/>
        </w:rPr>
        <w:t>ушений, выдано предписаний 73</w:t>
      </w:r>
      <w:r w:rsidR="002F2EB8" w:rsidRPr="00B4040D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551"/>
        <w:gridCol w:w="2977"/>
      </w:tblGrid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:rsidTr="006C251A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6C251A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</w:t>
            </w: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rPr>
          <w:trHeight w:val="183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832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B4040D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B4040D" w:rsidRPr="00B4040D">
        <w:rPr>
          <w:rStyle w:val="aa"/>
          <w:rFonts w:ascii="Times New Roman" w:hAnsi="Times New Roman" w:cs="Times New Roman"/>
          <w:i w:val="0"/>
          <w:sz w:val="26"/>
          <w:szCs w:val="26"/>
        </w:rPr>
        <w:t>ошении контролируемых лиц – 95</w:t>
      </w:r>
      <w:r w:rsidRPr="00B4040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B4040D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B4040D" w:rsidRPr="00B4040D">
        <w:rPr>
          <w:rStyle w:val="aa"/>
          <w:rFonts w:ascii="Times New Roman" w:hAnsi="Times New Roman" w:cs="Times New Roman"/>
          <w:i w:val="0"/>
          <w:sz w:val="26"/>
          <w:szCs w:val="26"/>
        </w:rPr>
        <w:t>ества контролируемых лиц) - 87</w:t>
      </w:r>
      <w:r w:rsidRPr="00B4040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1F" w:rsidRDefault="006B321F" w:rsidP="009554D4">
      <w:pPr>
        <w:spacing w:after="0" w:line="240" w:lineRule="auto"/>
      </w:pPr>
      <w:r>
        <w:separator/>
      </w:r>
    </w:p>
  </w:endnote>
  <w:endnote w:type="continuationSeparator" w:id="1">
    <w:p w:rsidR="006B321F" w:rsidRDefault="006B321F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1F" w:rsidRDefault="006B321F" w:rsidP="009554D4">
      <w:pPr>
        <w:spacing w:after="0" w:line="240" w:lineRule="auto"/>
      </w:pPr>
      <w:r>
        <w:separator/>
      </w:r>
    </w:p>
  </w:footnote>
  <w:footnote w:type="continuationSeparator" w:id="1">
    <w:p w:rsidR="006B321F" w:rsidRDefault="006B321F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A6DAB"/>
    <w:rsid w:val="001B13D0"/>
    <w:rsid w:val="002247AB"/>
    <w:rsid w:val="0022777B"/>
    <w:rsid w:val="00260F83"/>
    <w:rsid w:val="002B0094"/>
    <w:rsid w:val="002B49DD"/>
    <w:rsid w:val="002F2EB8"/>
    <w:rsid w:val="00334DFF"/>
    <w:rsid w:val="00362A60"/>
    <w:rsid w:val="003654DE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B0145"/>
    <w:rsid w:val="004B0CFB"/>
    <w:rsid w:val="004B684B"/>
    <w:rsid w:val="004F0655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B321F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C23C3"/>
    <w:rsid w:val="00AD3896"/>
    <w:rsid w:val="00AE743B"/>
    <w:rsid w:val="00AF2F6D"/>
    <w:rsid w:val="00B25847"/>
    <w:rsid w:val="00B4040D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71B41"/>
    <w:rsid w:val="00DA0DFA"/>
    <w:rsid w:val="00DB1D1A"/>
    <w:rsid w:val="00DF0364"/>
    <w:rsid w:val="00E01616"/>
    <w:rsid w:val="00E10AC2"/>
    <w:rsid w:val="00E30E46"/>
    <w:rsid w:val="00E5262C"/>
    <w:rsid w:val="00E60F09"/>
    <w:rsid w:val="00E61F28"/>
    <w:rsid w:val="00ED4C9F"/>
    <w:rsid w:val="00F12E0E"/>
    <w:rsid w:val="00F23E71"/>
    <w:rsid w:val="00F62A99"/>
    <w:rsid w:val="00F719F6"/>
    <w:rsid w:val="00F75B85"/>
    <w:rsid w:val="00F850D7"/>
    <w:rsid w:val="00FC3E47"/>
    <w:rsid w:val="00FC7B57"/>
    <w:rsid w:val="00FD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12</cp:revision>
  <cp:lastPrinted>2023-01-11T06:25:00Z</cp:lastPrinted>
  <dcterms:created xsi:type="dcterms:W3CDTF">2022-09-29T07:47:00Z</dcterms:created>
  <dcterms:modified xsi:type="dcterms:W3CDTF">2023-01-11T06:26:00Z</dcterms:modified>
</cp:coreProperties>
</file>