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D" w:rsidRDefault="00E865AD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Pr="007E7C44" w:rsidRDefault="00E865AD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067C2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общественного обсуждения проекта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муниципального жилищного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EE37E6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«Деревня Горки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E865AD" w:rsidRPr="007E7C44" w:rsidRDefault="00E2551E" w:rsidP="00E865AD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865AD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E865AD" w:rsidRPr="007E7C44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E865AD" w:rsidRDefault="00E865AD" w:rsidP="00E865A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bidi="en-US"/>
        </w:rPr>
        <w:t>равительства РФ от 25.06.2021 №990 «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 w:cs="Times New Roman"/>
          <w:sz w:val="26"/>
          <w:szCs w:val="26"/>
          <w:lang w:bidi="en-US"/>
        </w:rPr>
        <w:t>а) охраняемым законом ценностям»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2022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>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«</w:t>
      </w:r>
      <w:r w:rsidR="00EE37E6">
        <w:rPr>
          <w:rFonts w:ascii="Times New Roman" w:hAnsi="Times New Roman" w:cs="Times New Roman"/>
          <w:sz w:val="26"/>
          <w:szCs w:val="26"/>
        </w:rPr>
        <w:t>Деревня Горки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E2551E">
        <w:rPr>
          <w:rFonts w:ascii="Times New Roman" w:hAnsi="Times New Roman" w:cs="Times New Roman"/>
          <w:sz w:val="26"/>
          <w:szCs w:val="26"/>
          <w:lang w:bidi="en-US"/>
        </w:rPr>
        <w:t>на 2023</w:t>
      </w:r>
      <w:r w:rsidRPr="007E7C44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E2551E" w:rsidRPr="007E7C44" w:rsidRDefault="00E2551E" w:rsidP="00E2551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Указанный проект программы размещается на официальном сайте администрации муниципального района «Перемышльский район», во вкладке «Поселения», в разделе «Документы». </w:t>
      </w:r>
    </w:p>
    <w:p w:rsidR="006D3264" w:rsidRDefault="006D3264" w:rsidP="006D32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по адресу: 249137, Калужская область/, Перемышльский район, д. Горки, ул. Кузнецова, д.1; </w:t>
      </w:r>
    </w:p>
    <w:p w:rsidR="006D3264" w:rsidRDefault="006D3264" w:rsidP="006D326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на электронную почту администрации СП «Деревня Горки» -  </w:t>
      </w:r>
      <w:r>
        <w:rPr>
          <w:rStyle w:val="a3"/>
          <w:sz w:val="26"/>
          <w:szCs w:val="26"/>
          <w:lang w:val="en-US" w:bidi="en-US"/>
        </w:rPr>
        <w:t>admgorki</w:t>
      </w:r>
      <w:r>
        <w:rPr>
          <w:rStyle w:val="a3"/>
          <w:sz w:val="26"/>
          <w:szCs w:val="26"/>
          <w:lang w:bidi="en-US"/>
        </w:rPr>
        <w:t>80@</w:t>
      </w:r>
      <w:r>
        <w:rPr>
          <w:rStyle w:val="a3"/>
          <w:sz w:val="26"/>
          <w:szCs w:val="26"/>
          <w:lang w:val="en-US" w:bidi="en-US"/>
        </w:rPr>
        <w:t>mail</w:t>
      </w:r>
      <w:r>
        <w:rPr>
          <w:rStyle w:val="a3"/>
          <w:sz w:val="26"/>
          <w:szCs w:val="26"/>
          <w:lang w:bidi="en-US"/>
        </w:rPr>
        <w:t>.</w:t>
      </w:r>
      <w:r>
        <w:rPr>
          <w:rStyle w:val="a3"/>
          <w:sz w:val="26"/>
          <w:szCs w:val="26"/>
          <w:lang w:val="en-US" w:bidi="en-US"/>
        </w:rPr>
        <w:t>ru</w:t>
      </w:r>
      <w:r>
        <w:rPr>
          <w:rStyle w:val="a3"/>
          <w:sz w:val="26"/>
          <w:szCs w:val="26"/>
          <w:lang w:bidi="en-US"/>
        </w:rPr>
        <w:t xml:space="preserve">. </w:t>
      </w:r>
    </w:p>
    <w:p w:rsidR="00E2551E" w:rsidRPr="00533F7A" w:rsidRDefault="00E2551E" w:rsidP="00E2551E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65AD" w:rsidRPr="00533F7A" w:rsidRDefault="00E865AD" w:rsidP="00E865AD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E865AD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865AD" w:rsidRDefault="00A31100" w:rsidP="00E865AD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D3264">
        <w:rPr>
          <w:rFonts w:ascii="Times New Roman" w:hAnsi="Times New Roman" w:cs="Times New Roman"/>
          <w:bCs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:rsidR="00511FDF" w:rsidRPr="006D3264" w:rsidRDefault="006D3264" w:rsidP="006D3264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Д. Горки</w:t>
      </w:r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D82F1B" w:rsidRDefault="00511FDF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82F1B">
        <w:rPr>
          <w:rFonts w:ascii="Times New Roman" w:hAnsi="Times New Roman" w:cs="Times New Roman"/>
          <w:b/>
          <w:bCs/>
          <w:sz w:val="26"/>
          <w:szCs w:val="26"/>
        </w:rPr>
        <w:t xml:space="preserve">при осуществлении </w:t>
      </w:r>
      <w:r w:rsidR="00D82F1B"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</w:p>
    <w:p w:rsidR="00511FDF" w:rsidRPr="00D82F1B" w:rsidRDefault="00D82F1B" w:rsidP="00D82F1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bCs/>
          <w:sz w:val="26"/>
          <w:szCs w:val="26"/>
        </w:rPr>
      </w:pPr>
      <w:r w:rsidRPr="00511FDF">
        <w:rPr>
          <w:rFonts w:ascii="Times New Roman" w:hAnsi="Times New Roman" w:cs="Times New Roman"/>
          <w:b/>
          <w:bCs/>
          <w:sz w:val="26"/>
          <w:szCs w:val="26"/>
        </w:rPr>
        <w:t>контроля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</w:t>
      </w:r>
      <w:r w:rsidR="006D3264">
        <w:rPr>
          <w:rFonts w:ascii="Times New Roman" w:hAnsi="Times New Roman" w:cs="Times New Roman"/>
          <w:b/>
          <w:color w:val="000000"/>
          <w:sz w:val="26"/>
          <w:szCs w:val="26"/>
        </w:rPr>
        <w:t>и сельского поселения «Деревня Горки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11FDF" w:rsidRPr="00511FDF" w:rsidRDefault="00E2551E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2C7833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4828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CB59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6B3B2C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D82F1B">
        <w:rPr>
          <w:rFonts w:ascii="Times New Roman" w:hAnsi="Times New Roman" w:cs="Times New Roman"/>
          <w:sz w:val="26"/>
          <w:szCs w:val="26"/>
        </w:rPr>
        <w:t>ценностям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</w:t>
      </w:r>
      <w:r w:rsidR="00D82F1B" w:rsidRPr="00D82F1B">
        <w:rPr>
          <w:rFonts w:ascii="Times New Roman" w:hAnsi="Times New Roman" w:cs="Times New Roman"/>
          <w:sz w:val="26"/>
          <w:szCs w:val="26"/>
        </w:rPr>
        <w:t>при осуществлении муниципального жилищного контроля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="00E2551E">
        <w:rPr>
          <w:rFonts w:ascii="Times New Roman" w:hAnsi="Times New Roman" w:cs="Times New Roman"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sz w:val="26"/>
          <w:szCs w:val="26"/>
        </w:rPr>
        <w:t>4</w:t>
      </w:r>
      <w:r w:rsidR="006B3B2C">
        <w:rPr>
          <w:rFonts w:ascii="Times New Roman" w:hAnsi="Times New Roman" w:cs="Times New Roman"/>
          <w:sz w:val="26"/>
          <w:szCs w:val="26"/>
        </w:rPr>
        <w:t xml:space="preserve"> год</w:t>
      </w:r>
      <w:r w:rsidRPr="00A220F9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</w:t>
      </w:r>
      <w:r w:rsidR="002C7833">
        <w:rPr>
          <w:rFonts w:ascii="Times New Roman" w:hAnsi="Times New Roman" w:cs="Times New Roman"/>
          <w:sz w:val="26"/>
          <w:szCs w:val="26"/>
        </w:rPr>
        <w:t>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2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</w:t>
      </w:r>
      <w:r w:rsidR="007F6A01" w:rsidRPr="00471D97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D3264">
        <w:rPr>
          <w:rFonts w:ascii="Times New Roman" w:hAnsi="Times New Roman" w:cs="Times New Roman"/>
          <w:b/>
          <w:bCs/>
          <w:sz w:val="26"/>
          <w:szCs w:val="26"/>
        </w:rPr>
        <w:t xml:space="preserve">            Г.А. Сухова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B3B2C" w:rsidRDefault="006B3B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8F0" w:rsidRDefault="00511FDF" w:rsidP="0051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5A47D5">
        <w:rPr>
          <w:rFonts w:ascii="Times New Roman" w:hAnsi="Times New Roman" w:cs="Times New Roman"/>
          <w:b/>
          <w:bCs/>
          <w:sz w:val="26"/>
          <w:szCs w:val="26"/>
        </w:rPr>
        <w:t xml:space="preserve"> при осуществлении 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муниципального жилищного контроля на территории сельского поселения «</w:t>
      </w:r>
      <w:r w:rsidR="006D3264" w:rsidRPr="006D3264">
        <w:rPr>
          <w:rFonts w:ascii="Times New Roman" w:hAnsi="Times New Roman" w:cs="Times New Roman"/>
          <w:b/>
          <w:sz w:val="26"/>
          <w:szCs w:val="26"/>
        </w:rPr>
        <w:t>Деревня Горки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2551E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2C7833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5A47D5" w:rsidRPr="005A47D5" w:rsidRDefault="005A47D5" w:rsidP="005A47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</w:t>
      </w:r>
      <w:r w:rsidR="00CA0C8B">
        <w:rPr>
          <w:rFonts w:ascii="Times New Roman" w:hAnsi="Times New Roman" w:cs="Times New Roman"/>
          <w:bCs/>
          <w:sz w:val="26"/>
          <w:szCs w:val="26"/>
        </w:rPr>
        <w:t>на территории сельского по</w:t>
      </w:r>
      <w:r w:rsidR="00E2551E">
        <w:rPr>
          <w:rFonts w:ascii="Times New Roman" w:hAnsi="Times New Roman" w:cs="Times New Roman"/>
          <w:bCs/>
          <w:sz w:val="26"/>
          <w:szCs w:val="26"/>
        </w:rPr>
        <w:t>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E2551E">
        <w:rPr>
          <w:rFonts w:ascii="Times New Roman" w:hAnsi="Times New Roman" w:cs="Times New Roman"/>
          <w:bCs/>
          <w:sz w:val="26"/>
          <w:szCs w:val="26"/>
        </w:rPr>
        <w:t>» на 202</w:t>
      </w:r>
      <w:r w:rsidR="002C7833">
        <w:rPr>
          <w:rFonts w:ascii="Times New Roman" w:hAnsi="Times New Roman" w:cs="Times New Roman"/>
          <w:bCs/>
          <w:sz w:val="26"/>
          <w:szCs w:val="26"/>
        </w:rPr>
        <w:t>4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рограмма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жилищного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муниципальный контроль).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 xml:space="preserve">нализ текущего состояния осуществления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жилищного </w:t>
      </w:r>
      <w:r w:rsidR="006B3B2C" w:rsidRPr="006B3B2C">
        <w:rPr>
          <w:rFonts w:ascii="Times New Roman" w:hAnsi="Times New Roman" w:cs="Times New Roman"/>
          <w:b/>
          <w:bCs/>
          <w:sz w:val="26"/>
          <w:szCs w:val="26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правлена п</w:t>
      </w:r>
      <w:r w:rsidR="006B3B2C">
        <w:rPr>
          <w:rFonts w:ascii="Times New Roman" w:hAnsi="Times New Roman" w:cs="Times New Roman"/>
          <w:b/>
          <w:bCs/>
          <w:sz w:val="26"/>
          <w:szCs w:val="26"/>
        </w:rPr>
        <w:t xml:space="preserve">рограмма </w:t>
      </w:r>
      <w:r w:rsidR="00CA0C8B">
        <w:rPr>
          <w:rFonts w:ascii="Times New Roman" w:hAnsi="Times New Roman" w:cs="Times New Roman"/>
          <w:b/>
          <w:bCs/>
          <w:sz w:val="26"/>
          <w:szCs w:val="26"/>
        </w:rPr>
        <w:t>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Муниципальный жилищный контроль на территории сельского 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5A47D5">
        <w:rPr>
          <w:rFonts w:ascii="Times New Roman" w:hAnsi="Times New Roman" w:cs="Times New Roman"/>
          <w:bCs/>
          <w:sz w:val="26"/>
          <w:szCs w:val="26"/>
        </w:rPr>
        <w:t>).</w:t>
      </w:r>
    </w:p>
    <w:p w:rsid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Объектами при осуществлении муниципального контроля </w:t>
      </w:r>
      <w:r w:rsid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РФ;</w:t>
      </w:r>
    </w:p>
    <w:p w:rsidR="00E2551E" w:rsidRP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</w:t>
      </w:r>
      <w:r w:rsidRPr="00E2551E">
        <w:rPr>
          <w:rFonts w:ascii="Times New Roman" w:hAnsi="Times New Roman" w:cs="Times New Roman"/>
          <w:bCs/>
          <w:sz w:val="26"/>
          <w:szCs w:val="26"/>
        </w:rPr>
        <w:t>;</w:t>
      </w:r>
    </w:p>
    <w:p w:rsidR="00E2551E" w:rsidRDefault="00E2551E" w:rsidP="00E255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551E">
        <w:rPr>
          <w:rFonts w:ascii="Times New Roman" w:hAnsi="Times New Roman" w:cs="Times New Roman"/>
          <w:bCs/>
          <w:sz w:val="26"/>
          <w:szCs w:val="26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>
        <w:rPr>
          <w:rFonts w:ascii="Times New Roman" w:hAnsi="Times New Roman" w:cs="Times New Roman"/>
          <w:bCs/>
          <w:sz w:val="26"/>
          <w:szCs w:val="26"/>
        </w:rPr>
        <w:t>ч.1,4 ст. 20 ЖК РФ.</w:t>
      </w:r>
    </w:p>
    <w:p w:rsid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5A47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жилищного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A47D5" w:rsidRPr="000A4367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4367">
        <w:rPr>
          <w:rFonts w:ascii="Times New Roman" w:hAnsi="Times New Roman" w:cs="Times New Roman"/>
          <w:bCs/>
          <w:sz w:val="26"/>
          <w:szCs w:val="26"/>
        </w:rPr>
        <w:t>4</w:t>
      </w:r>
      <w:r w:rsidR="00CA0C8B" w:rsidRPr="000A436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A4367">
        <w:rPr>
          <w:rFonts w:ascii="Times New Roman" w:hAnsi="Times New Roman" w:cs="Times New Roman"/>
          <w:bCs/>
          <w:sz w:val="26"/>
          <w:szCs w:val="26"/>
        </w:rPr>
        <w:t>В 202</w:t>
      </w:r>
      <w:r w:rsidR="002C7833" w:rsidRPr="000A4367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0A4367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жилищного контроля по результатам контрольных мероприятий нарушени</w:t>
      </w:r>
      <w:r w:rsidR="0081656A" w:rsidRPr="000A4367">
        <w:rPr>
          <w:rFonts w:ascii="Times New Roman" w:hAnsi="Times New Roman" w:cs="Times New Roman"/>
          <w:bCs/>
          <w:sz w:val="26"/>
          <w:szCs w:val="26"/>
        </w:rPr>
        <w:t>й со стороны контролирующих лиц выявлено не было.</w:t>
      </w:r>
    </w:p>
    <w:p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5A47D5"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контроля, устранения причин, факторов и условий,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способствующих указанным нарушениям,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дминистрацией осуществлялись мероприятия по профилактике таких нарушений в соответствии с программой по профилактике нарушений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обязательных требований, утвержденной </w:t>
      </w:r>
      <w:r>
        <w:rPr>
          <w:rFonts w:ascii="Times New Roman" w:hAnsi="Times New Roman" w:cs="Times New Roman"/>
          <w:bCs/>
          <w:sz w:val="26"/>
          <w:szCs w:val="26"/>
        </w:rPr>
        <w:t>в 202</w:t>
      </w:r>
      <w:r w:rsidR="00F94D1B">
        <w:rPr>
          <w:rFonts w:ascii="Times New Roman" w:hAnsi="Times New Roman" w:cs="Times New Roman"/>
          <w:bCs/>
          <w:sz w:val="26"/>
          <w:szCs w:val="26"/>
        </w:rPr>
        <w:t>3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году. </w:t>
      </w:r>
    </w:p>
    <w:p w:rsidR="005A47D5" w:rsidRPr="005A47D5" w:rsidRDefault="005A47D5" w:rsidP="006B3B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района «Перемышльский район» </w:t>
      </w:r>
      <w:r w:rsidRPr="005A47D5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</w:t>
      </w:r>
      <w:r w:rsidR="00E2551E">
        <w:rPr>
          <w:rFonts w:ascii="Times New Roman" w:hAnsi="Times New Roman" w:cs="Times New Roman"/>
          <w:bCs/>
          <w:sz w:val="26"/>
          <w:szCs w:val="26"/>
        </w:rPr>
        <w:t xml:space="preserve"> (далее-официальный сайт)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было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документов сельского 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6B3B2C">
        <w:rPr>
          <w:rFonts w:ascii="Times New Roman" w:hAnsi="Times New Roman" w:cs="Times New Roman"/>
          <w:bCs/>
          <w:sz w:val="26"/>
          <w:szCs w:val="26"/>
        </w:rPr>
        <w:t xml:space="preserve">», касающихся осуществления </w:t>
      </w:r>
      <w:r w:rsidR="00CA0C8B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6B3B2C">
        <w:rPr>
          <w:rFonts w:ascii="Times New Roman" w:hAnsi="Times New Roman" w:cs="Times New Roman"/>
          <w:bCs/>
          <w:sz w:val="26"/>
          <w:szCs w:val="26"/>
        </w:rPr>
        <w:t>жилищного контроля, проводилась разъяснительная работа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Pr="005A47D5">
        <w:rPr>
          <w:rFonts w:ascii="Times New Roman" w:hAnsi="Times New Roman" w:cs="Times New Roman"/>
          <w:bCs/>
          <w:sz w:val="26"/>
          <w:szCs w:val="26"/>
        </w:rPr>
        <w:t>руководителями управляющих компаний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="006B3B2C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6D3264">
        <w:rPr>
          <w:rFonts w:ascii="Times New Roman" w:hAnsi="Times New Roman" w:cs="Times New Roman"/>
          <w:sz w:val="26"/>
          <w:szCs w:val="26"/>
        </w:rPr>
        <w:t>Деревня Горки</w:t>
      </w:r>
      <w:r w:rsidR="006B3B2C">
        <w:rPr>
          <w:rFonts w:ascii="Times New Roman" w:hAnsi="Times New Roman" w:cs="Times New Roman"/>
          <w:bCs/>
          <w:sz w:val="26"/>
          <w:szCs w:val="26"/>
        </w:rPr>
        <w:t>»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B3B2C">
        <w:rPr>
          <w:rFonts w:ascii="Times New Roman" w:hAnsi="Times New Roman" w:cs="Times New Roman"/>
          <w:bCs/>
          <w:sz w:val="26"/>
          <w:szCs w:val="26"/>
        </w:rPr>
        <w:t>иными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организаци</w:t>
      </w:r>
      <w:r w:rsidR="006B3B2C">
        <w:rPr>
          <w:rFonts w:ascii="Times New Roman" w:hAnsi="Times New Roman" w:cs="Times New Roman"/>
          <w:bCs/>
          <w:sz w:val="26"/>
          <w:szCs w:val="26"/>
        </w:rPr>
        <w:t>ями</w:t>
      </w:r>
      <w:r>
        <w:rPr>
          <w:rFonts w:ascii="Times New Roman" w:hAnsi="Times New Roman" w:cs="Times New Roman"/>
          <w:bCs/>
          <w:sz w:val="26"/>
          <w:szCs w:val="26"/>
        </w:rPr>
        <w:t>, граждан</w:t>
      </w:r>
      <w:r w:rsidR="006B3B2C">
        <w:rPr>
          <w:rFonts w:ascii="Times New Roman" w:hAnsi="Times New Roman" w:cs="Times New Roman"/>
          <w:bCs/>
          <w:sz w:val="26"/>
          <w:szCs w:val="26"/>
        </w:rPr>
        <w:t>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по вопросам соблюдения обязательных требований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A47D5" w:rsidRPr="005A47D5" w:rsidRDefault="006B3B2C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 w:rsidR="005A47D5"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, а также посредством телефонной связи и письменных ответов на обращения. </w:t>
      </w:r>
    </w:p>
    <w:p w:rsidR="0081656A" w:rsidRPr="005A47D5" w:rsidRDefault="005A47D5" w:rsidP="000A43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Проведённая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Администрацией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5A47D5" w:rsidRPr="005A47D5" w:rsidRDefault="00E2551E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A0C8B">
        <w:rPr>
          <w:rFonts w:ascii="Times New Roman" w:hAnsi="Times New Roman" w:cs="Times New Roman"/>
          <w:bCs/>
          <w:sz w:val="26"/>
          <w:szCs w:val="26"/>
        </w:rPr>
        <w:t>.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5A47D5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F94D1B">
        <w:rPr>
          <w:rFonts w:ascii="Times New Roman" w:hAnsi="Times New Roman" w:cs="Times New Roman"/>
          <w:bCs/>
          <w:sz w:val="26"/>
          <w:szCs w:val="26"/>
        </w:rPr>
        <w:t>4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5A47D5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профилактики 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жилищного контроля;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 предусмотренным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5A47D5" w:rsidRPr="005A47D5" w:rsidRDefault="00CA0C8B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риска;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5A47D5" w:rsidRPr="00466920" w:rsidRDefault="005A47D5" w:rsidP="00466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66920"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жилищного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</w:t>
      </w:r>
      <w:r w:rsidR="00466920" w:rsidRPr="005A47D5">
        <w:rPr>
          <w:rFonts w:ascii="Times New Roman" w:hAnsi="Times New Roman" w:cs="Times New Roman"/>
          <w:bCs/>
          <w:sz w:val="26"/>
          <w:szCs w:val="26"/>
        </w:rPr>
        <w:t>мероприятия: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5A47D5" w:rsidRPr="005A47D5" w:rsidRDefault="00466920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5A47D5"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2. Перечень профилактических мероприятий с указанием сроков (периодичности) их проведения, ответственных за их </w:t>
      </w:r>
      <w:r w:rsidR="006B3B2C" w:rsidRPr="005A47D5">
        <w:rPr>
          <w:rFonts w:ascii="Times New Roman" w:hAnsi="Times New Roman" w:cs="Times New Roman"/>
          <w:bCs/>
          <w:sz w:val="26"/>
          <w:szCs w:val="26"/>
        </w:rPr>
        <w:t xml:space="preserve">осуществление </w:t>
      </w:r>
      <w:r w:rsidR="006B3B2C"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5A47D5" w:rsidRPr="005A47D5" w:rsidRDefault="005A47D5" w:rsidP="005A47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1D0A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Таблица </w:t>
      </w:r>
      <w:r w:rsidR="00591D0A" w:rsidRPr="006B3B2C">
        <w:rPr>
          <w:rFonts w:ascii="Times New Roman" w:hAnsi="Times New Roman" w:cs="Times New Roman"/>
          <w:i/>
          <w:sz w:val="26"/>
          <w:szCs w:val="26"/>
        </w:rPr>
        <w:t>1</w:t>
      </w:r>
    </w:p>
    <w:p w:rsidR="006B3B2C" w:rsidRPr="006B3B2C" w:rsidRDefault="006B3B2C" w:rsidP="00591D0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693"/>
        <w:gridCol w:w="2835"/>
      </w:tblGrid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8916B3" w:rsidRPr="008916B3" w:rsidTr="00176854">
        <w:trPr>
          <w:trHeight w:val="39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>течение года, по мере необходимости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6B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Должностное лицо, уполномоченное на осуществление муниципального жилищного контроля </w:t>
            </w:r>
          </w:p>
        </w:tc>
      </w:tr>
      <w:tr w:rsidR="008916B3" w:rsidRPr="008916B3" w:rsidTr="00176854">
        <w:trPr>
          <w:trHeight w:val="983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6B3B2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жилищного контроля,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="006B3B2C"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3B2C"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 w:rsidR="006B3B2C"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c>
          <w:tcPr>
            <w:tcW w:w="421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8916B3" w:rsidRPr="008916B3" w:rsidRDefault="008916B3" w:rsidP="00891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835" w:type="dxa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1470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жилищного контроля). </w:t>
            </w:r>
          </w:p>
        </w:tc>
        <w:tc>
          <w:tcPr>
            <w:tcW w:w="2693" w:type="dxa"/>
            <w:vMerge w:val="restart"/>
          </w:tcPr>
          <w:p w:rsidR="008916B3" w:rsidRPr="008916B3" w:rsidRDefault="00E2551E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916B3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176854">
        <w:trPr>
          <w:trHeight w:val="3315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 w:rsidR="00D01D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916B3" w:rsidRPr="008916B3" w:rsidRDefault="008916B3" w:rsidP="00A36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 w:rsidR="00A36AB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  <w:bookmarkEnd w:id="0"/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6B3" w:rsidRPr="008916B3" w:rsidTr="00176854">
        <w:trPr>
          <w:trHeight w:val="357"/>
        </w:trPr>
        <w:tc>
          <w:tcPr>
            <w:tcW w:w="421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693" w:type="dxa"/>
            <w:vMerge w:val="restart"/>
          </w:tcPr>
          <w:p w:rsidR="008916B3" w:rsidRPr="008916B3" w:rsidRDefault="008916B3" w:rsidP="00E25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Профилактические визиты подлежат проведению в течение года (при наличии оснований).</w:t>
            </w:r>
            <w:r w:rsidR="00E2551E">
              <w:t xml:space="preserve"> </w:t>
            </w:r>
            <w:r w:rsidR="00E2551E" w:rsidRPr="00E2551E">
              <w:rPr>
                <w:rFonts w:ascii="Times New Roman" w:hAnsi="Times New Roman" w:cs="Times New Roman"/>
                <w:sz w:val="26"/>
                <w:szCs w:val="26"/>
              </w:rPr>
              <w:t>Обязательный профилактический визит осуществляется не реже чем 1 раз в год.</w:t>
            </w:r>
          </w:p>
        </w:tc>
        <w:tc>
          <w:tcPr>
            <w:tcW w:w="2835" w:type="dxa"/>
            <w:vMerge w:val="restart"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на осуществление муниципального жилищного контроля</w:t>
            </w:r>
          </w:p>
        </w:tc>
      </w:tr>
      <w:tr w:rsidR="008916B3" w:rsidRPr="008916B3" w:rsidTr="00E2551E">
        <w:trPr>
          <w:trHeight w:val="1681"/>
        </w:trPr>
        <w:tc>
          <w:tcPr>
            <w:tcW w:w="421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916B3" w:rsidRPr="008916B3" w:rsidRDefault="008916B3" w:rsidP="0089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916B3" w:rsidRPr="008916B3" w:rsidRDefault="008916B3" w:rsidP="0089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0DFA" w:rsidRPr="00A220F9" w:rsidRDefault="00DA0DFA" w:rsidP="002247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1752" w:rsidRDefault="00DA0DFA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8916B3" w:rsidRDefault="008916B3" w:rsidP="00AA175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CA0C8B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81656A">
        <w:rPr>
          <w:rStyle w:val="ad"/>
          <w:rFonts w:ascii="Times New Roman" w:hAnsi="Times New Roman" w:cs="Times New Roman"/>
          <w:i w:val="0"/>
          <w:sz w:val="26"/>
          <w:szCs w:val="26"/>
        </w:rPr>
        <w:t>ошении контролируемых лиц – 0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916B3" w:rsidRPr="008916B3" w:rsidRDefault="008916B3" w:rsidP="008916B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6"/>
          <w:szCs w:val="26"/>
        </w:rPr>
      </w:pP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</w:t>
      </w:r>
      <w:r w:rsidR="0081656A">
        <w:rPr>
          <w:rStyle w:val="ad"/>
          <w:rFonts w:ascii="Times New Roman" w:hAnsi="Times New Roman" w:cs="Times New Roman"/>
          <w:i w:val="0"/>
          <w:sz w:val="26"/>
          <w:szCs w:val="26"/>
        </w:rPr>
        <w:t>- 0</w:t>
      </w:r>
      <w:r w:rsidRPr="008916B3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8916B3" w:rsidRDefault="008916B3" w:rsidP="008916B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A1752" w:rsidRPr="00AA1752" w:rsidRDefault="00AA1752" w:rsidP="00E255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B2" w:rsidRDefault="00681CB2" w:rsidP="005A47D5">
      <w:pPr>
        <w:spacing w:after="0" w:line="240" w:lineRule="auto"/>
      </w:pPr>
      <w:r>
        <w:separator/>
      </w:r>
    </w:p>
  </w:endnote>
  <w:endnote w:type="continuationSeparator" w:id="1">
    <w:p w:rsidR="00681CB2" w:rsidRDefault="00681CB2" w:rsidP="005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B2" w:rsidRDefault="00681CB2" w:rsidP="005A47D5">
      <w:pPr>
        <w:spacing w:after="0" w:line="240" w:lineRule="auto"/>
      </w:pPr>
      <w:r>
        <w:separator/>
      </w:r>
    </w:p>
  </w:footnote>
  <w:footnote w:type="continuationSeparator" w:id="1">
    <w:p w:rsidR="00681CB2" w:rsidRDefault="00681CB2" w:rsidP="005A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399B"/>
    <w:rsid w:val="00015347"/>
    <w:rsid w:val="000401CD"/>
    <w:rsid w:val="00086D06"/>
    <w:rsid w:val="000A4367"/>
    <w:rsid w:val="00112DF4"/>
    <w:rsid w:val="0015257D"/>
    <w:rsid w:val="0019324F"/>
    <w:rsid w:val="002247AB"/>
    <w:rsid w:val="002B0094"/>
    <w:rsid w:val="002B49DD"/>
    <w:rsid w:val="002C7833"/>
    <w:rsid w:val="003039B1"/>
    <w:rsid w:val="00362A60"/>
    <w:rsid w:val="00371351"/>
    <w:rsid w:val="0038020A"/>
    <w:rsid w:val="0038675E"/>
    <w:rsid w:val="003952BF"/>
    <w:rsid w:val="003D1C0A"/>
    <w:rsid w:val="00446E5D"/>
    <w:rsid w:val="00463A97"/>
    <w:rsid w:val="00466920"/>
    <w:rsid w:val="00471D97"/>
    <w:rsid w:val="00482885"/>
    <w:rsid w:val="004B0145"/>
    <w:rsid w:val="004B684B"/>
    <w:rsid w:val="004F7123"/>
    <w:rsid w:val="00504F04"/>
    <w:rsid w:val="00505E30"/>
    <w:rsid w:val="0051152A"/>
    <w:rsid w:val="00511FDF"/>
    <w:rsid w:val="00514D5B"/>
    <w:rsid w:val="0054435B"/>
    <w:rsid w:val="0054718E"/>
    <w:rsid w:val="005557D7"/>
    <w:rsid w:val="005617F9"/>
    <w:rsid w:val="00591D0A"/>
    <w:rsid w:val="005A47D5"/>
    <w:rsid w:val="005D38F0"/>
    <w:rsid w:val="005E4881"/>
    <w:rsid w:val="00681CB2"/>
    <w:rsid w:val="006B3B2C"/>
    <w:rsid w:val="006C3BB6"/>
    <w:rsid w:val="006C5CC5"/>
    <w:rsid w:val="006D3264"/>
    <w:rsid w:val="006D3F6F"/>
    <w:rsid w:val="00720177"/>
    <w:rsid w:val="0075668C"/>
    <w:rsid w:val="007A3BDA"/>
    <w:rsid w:val="007E6BBB"/>
    <w:rsid w:val="007F6A01"/>
    <w:rsid w:val="00801968"/>
    <w:rsid w:val="00815D12"/>
    <w:rsid w:val="0081656A"/>
    <w:rsid w:val="008661D5"/>
    <w:rsid w:val="00875A34"/>
    <w:rsid w:val="008916B3"/>
    <w:rsid w:val="008A43CA"/>
    <w:rsid w:val="008E1E27"/>
    <w:rsid w:val="009273C2"/>
    <w:rsid w:val="009314CE"/>
    <w:rsid w:val="00941804"/>
    <w:rsid w:val="00954C57"/>
    <w:rsid w:val="0097432B"/>
    <w:rsid w:val="00996577"/>
    <w:rsid w:val="009A0A8A"/>
    <w:rsid w:val="009D7B52"/>
    <w:rsid w:val="00A220F9"/>
    <w:rsid w:val="00A31100"/>
    <w:rsid w:val="00A32D85"/>
    <w:rsid w:val="00A36ABF"/>
    <w:rsid w:val="00AA1752"/>
    <w:rsid w:val="00AD3896"/>
    <w:rsid w:val="00AE743B"/>
    <w:rsid w:val="00AF2F6D"/>
    <w:rsid w:val="00B6735F"/>
    <w:rsid w:val="00B9399B"/>
    <w:rsid w:val="00BB20B0"/>
    <w:rsid w:val="00BE0F10"/>
    <w:rsid w:val="00BF11BD"/>
    <w:rsid w:val="00BF5541"/>
    <w:rsid w:val="00C74C48"/>
    <w:rsid w:val="00C9542B"/>
    <w:rsid w:val="00C97D42"/>
    <w:rsid w:val="00CA0C8B"/>
    <w:rsid w:val="00CB5991"/>
    <w:rsid w:val="00CF590B"/>
    <w:rsid w:val="00D01D8C"/>
    <w:rsid w:val="00D82F1B"/>
    <w:rsid w:val="00DA0DFA"/>
    <w:rsid w:val="00DF0364"/>
    <w:rsid w:val="00DF1C30"/>
    <w:rsid w:val="00E01616"/>
    <w:rsid w:val="00E10AC2"/>
    <w:rsid w:val="00E2551E"/>
    <w:rsid w:val="00E5262C"/>
    <w:rsid w:val="00E5625A"/>
    <w:rsid w:val="00E60F09"/>
    <w:rsid w:val="00E61F28"/>
    <w:rsid w:val="00E865AD"/>
    <w:rsid w:val="00EE37E6"/>
    <w:rsid w:val="00EF2D33"/>
    <w:rsid w:val="00EF5E16"/>
    <w:rsid w:val="00F30A2C"/>
    <w:rsid w:val="00F62A99"/>
    <w:rsid w:val="00F719F6"/>
    <w:rsid w:val="00F75B85"/>
    <w:rsid w:val="00F94D1B"/>
    <w:rsid w:val="00FC3E47"/>
    <w:rsid w:val="00FC7B57"/>
    <w:rsid w:val="00FE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89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rsid w:val="008916B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916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916B3"/>
    <w:rPr>
      <w:vertAlign w:val="superscript"/>
    </w:rPr>
  </w:style>
  <w:style w:type="character" w:styleId="ad">
    <w:name w:val="Emphasis"/>
    <w:qFormat/>
    <w:rsid w:val="008916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12</cp:revision>
  <cp:lastPrinted>2021-09-27T12:36:00Z</cp:lastPrinted>
  <dcterms:created xsi:type="dcterms:W3CDTF">2022-09-29T08:03:00Z</dcterms:created>
  <dcterms:modified xsi:type="dcterms:W3CDTF">2023-09-13T11:19:00Z</dcterms:modified>
</cp:coreProperties>
</file>