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жилищного 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/>
          <w:color w:val="000000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2024 год</w:t>
      </w:r>
    </w:p>
    <w:p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 01 октября по 01 ноября 2022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val="ru-RU" w:bidi="en-US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 w:bidi="en-US"/>
        </w:rPr>
        <w:t xml:space="preserve"> Погореловка</w:t>
      </w:r>
      <w:r>
        <w:rPr>
          <w:rFonts w:ascii="Times New Roman" w:hAnsi="Times New Roman" w:cs="Times New Roman"/>
          <w:sz w:val="26"/>
          <w:szCs w:val="26"/>
          <w:lang w:bidi="en-US"/>
        </w:rPr>
        <w:t>» на 2023 год.</w:t>
      </w:r>
    </w:p>
    <w:p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Предложения по проекту программы можно направлять по адресу: 249</w:t>
      </w:r>
      <w:r>
        <w:rPr>
          <w:rFonts w:hint="default" w:ascii="Times New Roman" w:hAnsi="Times New Roman" w:cs="Times New Roman"/>
          <w:sz w:val="26"/>
          <w:szCs w:val="26"/>
          <w:lang w:val="ru-RU" w:bidi="en-US"/>
        </w:rPr>
        <w:t>138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Калужская область, Перемышльский район, </w:t>
      </w:r>
      <w:r>
        <w:rPr>
          <w:rFonts w:ascii="Times New Roman" w:hAnsi="Times New Roman" w:cs="Times New Roman"/>
          <w:sz w:val="26"/>
          <w:szCs w:val="26"/>
          <w:lang w:val="ru-RU" w:bidi="en-US"/>
        </w:rPr>
        <w:t>д</w:t>
      </w:r>
      <w:r>
        <w:rPr>
          <w:rFonts w:hint="default" w:ascii="Times New Roman" w:hAnsi="Times New Roman" w:cs="Times New Roman"/>
          <w:sz w:val="26"/>
          <w:szCs w:val="26"/>
          <w:lang w:val="ru-RU" w:bidi="en-US"/>
        </w:rPr>
        <w:t>.Погореловка. Д.57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 СП «</w:t>
      </w:r>
      <w:r>
        <w:rPr>
          <w:rFonts w:ascii="Times New Roman" w:hAnsi="Times New Roman" w:cs="Times New Roman"/>
          <w:sz w:val="26"/>
          <w:szCs w:val="26"/>
          <w:lang w:val="ru-RU" w:bidi="en-US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 w:bidi="en-US"/>
        </w:rPr>
        <w:t xml:space="preserve"> Погореловка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-  </w:t>
      </w:r>
      <w:r>
        <w:rPr>
          <w:rStyle w:val="7"/>
          <w:rFonts w:hint="default"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averina-pog@mail.ru</w:t>
      </w:r>
      <w:r>
        <w:rPr>
          <w:rStyle w:val="7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Деревня Погореловка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>
      <w:pPr>
        <w:widowControl w:val="0"/>
        <w:suppressAutoHyphens/>
        <w:spacing w:after="0" w:line="240" w:lineRule="auto"/>
        <w:ind w:left="567"/>
        <w:rPr>
          <w:rFonts w:ascii="Times New Roman" w:hAnsi="Times New Roman" w:eastAsia="Lucida Sans Unicode" w:cs="Times New Roman"/>
          <w:kern w:val="1"/>
          <w:sz w:val="26"/>
          <w:szCs w:val="26"/>
          <w:lang w:eastAsia="hi-IN" w:bidi="hi-IN"/>
        </w:rPr>
      </w:pP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kern w:val="1"/>
          <w:sz w:val="26"/>
          <w:szCs w:val="26"/>
          <w:lang w:eastAsia="hi-IN" w:bidi="hi-IN"/>
        </w:rPr>
      </w:pPr>
    </w:p>
    <w:p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 w:eastAsia="Lucida Sans Unicode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Lucida Sans Unicode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 w:eastAsia="Lucida Sans Unicode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hi-IN" w:bidi="hi-IN"/>
        </w:rPr>
        <w:t>___________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Lucida Sans Unicode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b/>
          <w:bCs/>
          <w:kern w:val="1"/>
          <w:sz w:val="26"/>
          <w:szCs w:val="26"/>
          <w:lang w:eastAsia="hi-IN" w:bidi="hi-IN"/>
        </w:rPr>
      </w:pP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Lucida Sans Unicode" w:cs="Times New Roman"/>
          <w:kern w:val="1"/>
          <w:sz w:val="26"/>
          <w:szCs w:val="26"/>
          <w:lang w:eastAsia="hi-IN" w:bidi="hi-IN"/>
        </w:rPr>
        <w:t xml:space="preserve"> ___  ______________                                                                                                №____</w:t>
      </w: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ценностям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/>
          <w:color w:val="000000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2024 год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sz w:val="26"/>
          <w:szCs w:val="26"/>
        </w:rPr>
        <w:t>» на 2024 год согласно приложению к настоящему постановлению.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_______________</w:t>
      </w:r>
    </w:p>
    <w:p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</w:t>
      </w:r>
      <w:r>
        <w:rPr>
          <w:rFonts w:ascii="Times New Roman" w:hAnsi="Times New Roman" w:cs="Times New Roman"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№___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/>
          <w:bCs/>
          <w:sz w:val="26"/>
          <w:szCs w:val="26"/>
        </w:rPr>
        <w:t>» на 2024 год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>» на 2024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1.Муниципальный жилищный контроль на территории сельского поселения «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2.Объектами при осуществлении муниципального контроля являются: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ч.1,4 ст. 20 ЖК РФ;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ч.1,4 ст. 20 ЖК РФ;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ч.1,4 ст. 20 ЖК РФ.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3.Главной задачей Администрации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cs="Times New Roman"/>
          <w:bCs/>
          <w:sz w:val="26"/>
          <w:szCs w:val="26"/>
          <w:highlight w:val="none"/>
          <w:lang w:val="ru-RU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highlight w:val="none"/>
        </w:rPr>
        <w:t xml:space="preserve">4. В 2023 году в рамках муниципального жилищного контроля по результатам контрольных мероприятий  нарушения </w:t>
      </w:r>
      <w:r>
        <w:rPr>
          <w:rFonts w:ascii="Times New Roman" w:hAnsi="Times New Roman" w:cs="Times New Roman"/>
          <w:bCs/>
          <w:color w:val="auto"/>
          <w:sz w:val="26"/>
          <w:szCs w:val="26"/>
          <w:highlight w:val="none"/>
          <w:lang w:val="ru-RU"/>
        </w:rPr>
        <w:t>не</w:t>
      </w:r>
      <w:r>
        <w:rPr>
          <w:rFonts w:hint="default" w:ascii="Times New Roman" w:hAnsi="Times New Roman" w:cs="Times New Roman"/>
          <w:bCs/>
          <w:color w:val="auto"/>
          <w:sz w:val="26"/>
          <w:szCs w:val="26"/>
          <w:highlight w:val="none"/>
          <w:lang w:val="ru-RU"/>
        </w:rPr>
        <w:t xml:space="preserve"> выявлены.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.В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обязательных требований, утвержденной в 2023 году.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частности, в 2021 году в целях профилактики нарушений обязательных требований на официальном сайте администрации муниципального района «Перемышльский район» в информационно-телекоммуникационной сети «Интернет» (далее-официальный сайт) было обеспечено размещение документов сельского поселения «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жилищного контроля, проводилась разъяснительная работа с руководителями управляющих компаний на территории сельского поселения «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Деревня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Погореловка</w:t>
      </w:r>
      <w:r>
        <w:rPr>
          <w:rFonts w:ascii="Times New Roman" w:hAnsi="Times New Roman" w:cs="Times New Roman"/>
          <w:bCs/>
          <w:sz w:val="26"/>
          <w:szCs w:val="26"/>
        </w:rPr>
        <w:t>», иными организациями, гражданами по вопросам соблюдения обязательных требований законодательства.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давались консультации в ходе личных приемов, а также посредством телефонной связи и письменных ответов на обращения.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Cs/>
          <w:sz w:val="26"/>
          <w:szCs w:val="26"/>
          <w:highlight w:val="none"/>
        </w:rPr>
        <w:t>Так, в 2022</w:t>
      </w:r>
      <w:r>
        <w:rPr>
          <w:rFonts w:hint="default" w:ascii="Times New Roman" w:hAnsi="Times New Roman" w:cs="Times New Roman"/>
          <w:bCs/>
          <w:sz w:val="26"/>
          <w:szCs w:val="26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bCs/>
          <w:sz w:val="26"/>
          <w:szCs w:val="26"/>
          <w:highlight w:val="none"/>
          <w:lang w:val="ru-RU"/>
        </w:rPr>
        <w:t xml:space="preserve"> в 2023</w:t>
      </w:r>
      <w:r>
        <w:rPr>
          <w:rFonts w:ascii="Times New Roman" w:hAnsi="Times New Roman" w:cs="Times New Roman"/>
          <w:bCs/>
          <w:sz w:val="26"/>
          <w:szCs w:val="26"/>
          <w:highlight w:val="none"/>
        </w:rPr>
        <w:t xml:space="preserve"> год</w:t>
      </w:r>
      <w:r>
        <w:rPr>
          <w:rFonts w:ascii="Times New Roman" w:hAnsi="Times New Roman" w:cs="Times New Roman"/>
          <w:bCs/>
          <w:sz w:val="26"/>
          <w:szCs w:val="26"/>
          <w:highlight w:val="none"/>
          <w:lang w:val="ru-RU"/>
        </w:rPr>
        <w:t>ах</w:t>
      </w:r>
      <w:r>
        <w:rPr>
          <w:rFonts w:ascii="Times New Roman" w:hAnsi="Times New Roman" w:cs="Times New Roman"/>
          <w:bCs/>
          <w:sz w:val="26"/>
          <w:szCs w:val="26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6"/>
          <w:szCs w:val="26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highlight w:val="none"/>
        </w:rPr>
        <w:t xml:space="preserve"> нарушений</w:t>
      </w:r>
      <w:r>
        <w:rPr>
          <w:rFonts w:hint="default" w:ascii="Times New Roman" w:hAnsi="Times New Roman" w:cs="Times New Roman"/>
          <w:bCs/>
          <w:sz w:val="26"/>
          <w:szCs w:val="26"/>
          <w:highlight w:val="none"/>
          <w:lang w:val="ru-RU"/>
        </w:rPr>
        <w:t xml:space="preserve"> не выявлено</w:t>
      </w:r>
      <w:r>
        <w:rPr>
          <w:rFonts w:ascii="Times New Roman" w:hAnsi="Times New Roman" w:cs="Times New Roman"/>
          <w:bCs/>
          <w:sz w:val="26"/>
          <w:szCs w:val="26"/>
          <w:highlight w:val="none"/>
        </w:rPr>
        <w:t xml:space="preserve">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6.Для устранения указанных рисков деятельность Администрации в 2024 году будет сосредоточена на следующих направлениях: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снижения количества нарушений обязательных требований контролируемыми лицами;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создание мотивации к добросовестному поведению контролируемых лиц по соблюдению обязательных требований.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программы профилактики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программы профилактики являются: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 муниципального жилищного контроля;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 предусмотренным законом ценностям вследствие нарушений обязательных требований;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программы профилактики являются: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В рамках осуществления муниципального жилищного контроля проводятся следующие профилактические мероприятия: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объявление предостережения;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консультирование;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профилактический визит.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1</w:t>
      </w:r>
    </w:p>
    <w:p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9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3969"/>
        <w:gridCol w:w="26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 указанных в ч.3 ст.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>Осуществляется в виде личного приема граждан, проводимого главой в устной или письменной форме;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2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4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firstLine="709"/>
        <w:jc w:val="both"/>
        <w:rPr>
          <w:rStyle w:val="6"/>
          <w:rFonts w:ascii="Times New Roman" w:hAnsi="Times New Roman" w:cs="Times New Roman"/>
          <w:i w:val="0"/>
          <w:sz w:val="26"/>
          <w:szCs w:val="26"/>
        </w:rPr>
      </w:pPr>
      <w:r>
        <w:rPr>
          <w:rStyle w:val="6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>
      <w:pPr>
        <w:spacing w:after="0" w:line="240" w:lineRule="auto"/>
        <w:ind w:firstLine="709"/>
        <w:jc w:val="both"/>
        <w:rPr>
          <w:rStyle w:val="6"/>
          <w:rFonts w:ascii="Times New Roman" w:hAnsi="Times New Roman" w:cs="Times New Roman"/>
          <w:i w:val="0"/>
          <w:sz w:val="26"/>
          <w:szCs w:val="26"/>
          <w:highlight w:val="none"/>
        </w:rPr>
      </w:pPr>
      <w:r>
        <w:rPr>
          <w:rStyle w:val="6"/>
          <w:rFonts w:ascii="Times New Roman" w:hAnsi="Times New Roman" w:cs="Times New Roman"/>
          <w:i w:val="0"/>
          <w:sz w:val="26"/>
          <w:szCs w:val="26"/>
          <w:highlight w:val="none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>
        <w:rPr>
          <w:rStyle w:val="6"/>
          <w:rFonts w:hint="default" w:ascii="Times New Roman" w:hAnsi="Times New Roman" w:cs="Times New Roman"/>
          <w:i w:val="0"/>
          <w:sz w:val="26"/>
          <w:szCs w:val="26"/>
          <w:highlight w:val="none"/>
          <w:lang w:val="ru-RU"/>
        </w:rPr>
        <w:t>0</w:t>
      </w:r>
      <w:r>
        <w:rPr>
          <w:rStyle w:val="6"/>
          <w:rFonts w:ascii="Times New Roman" w:hAnsi="Times New Roman" w:cs="Times New Roman"/>
          <w:i w:val="0"/>
          <w:sz w:val="26"/>
          <w:szCs w:val="26"/>
          <w:highlight w:val="none"/>
        </w:rPr>
        <w:t xml:space="preserve"> %.</w:t>
      </w:r>
    </w:p>
    <w:p>
      <w:pPr>
        <w:spacing w:after="0" w:line="240" w:lineRule="auto"/>
        <w:ind w:firstLine="709"/>
        <w:jc w:val="both"/>
        <w:rPr>
          <w:rStyle w:val="6"/>
          <w:rFonts w:ascii="Times New Roman" w:hAnsi="Times New Roman" w:cs="Times New Roman"/>
          <w:i w:val="0"/>
          <w:sz w:val="26"/>
          <w:szCs w:val="26"/>
          <w:highlight w:val="none"/>
        </w:rPr>
      </w:pPr>
      <w:r>
        <w:rPr>
          <w:rStyle w:val="6"/>
          <w:rFonts w:ascii="Times New Roman" w:hAnsi="Times New Roman" w:cs="Times New Roman"/>
          <w:i w:val="0"/>
          <w:sz w:val="26"/>
          <w:szCs w:val="26"/>
          <w:highlight w:val="none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spacing w:after="0" w:line="240" w:lineRule="auto"/>
        <w:ind w:firstLine="709"/>
        <w:jc w:val="both"/>
        <w:rPr>
          <w:rStyle w:val="6"/>
          <w:rFonts w:ascii="Times New Roman" w:hAnsi="Times New Roman" w:cs="Times New Roman"/>
          <w:i w:val="0"/>
          <w:sz w:val="26"/>
          <w:szCs w:val="26"/>
          <w:highlight w:val="none"/>
        </w:rPr>
      </w:pPr>
      <w:r>
        <w:rPr>
          <w:rStyle w:val="6"/>
          <w:rFonts w:ascii="Times New Roman" w:hAnsi="Times New Roman" w:cs="Times New Roman"/>
          <w:i w:val="0"/>
          <w:sz w:val="26"/>
          <w:szCs w:val="26"/>
          <w:highlight w:val="none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>
        <w:rPr>
          <w:rStyle w:val="6"/>
          <w:rFonts w:hint="default" w:ascii="Times New Roman" w:hAnsi="Times New Roman" w:cs="Times New Roman"/>
          <w:i w:val="0"/>
          <w:sz w:val="26"/>
          <w:szCs w:val="26"/>
          <w:highlight w:val="none"/>
          <w:lang w:val="ru-RU"/>
        </w:rPr>
        <w:t>100</w:t>
      </w:r>
      <w:bookmarkStart w:id="0" w:name="_GoBack"/>
      <w:bookmarkEnd w:id="0"/>
      <w:r>
        <w:rPr>
          <w:rStyle w:val="6"/>
          <w:rFonts w:ascii="Times New Roman" w:hAnsi="Times New Roman" w:cs="Times New Roman"/>
          <w:i w:val="0"/>
          <w:sz w:val="26"/>
          <w:szCs w:val="26"/>
          <w:highlight w:val="none"/>
        </w:rPr>
        <w:t xml:space="preserve"> %.</w:t>
      </w:r>
    </w:p>
    <w:p>
      <w:pPr>
        <w:ind w:firstLine="567"/>
        <w:jc w:val="both"/>
        <w:rPr>
          <w:rFonts w:eastAsia="Calibri"/>
          <w:sz w:val="28"/>
          <w:szCs w:val="28"/>
          <w:highlight w:val="none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>
      <w:footnotePr>
        <w:pos w:val="beneathText"/>
      </w:footnotePr>
      <w:pgSz w:w="11905" w:h="16837"/>
      <w:pgMar w:top="709" w:right="851" w:bottom="426" w:left="141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  <w:rsid w:val="1A1E09A4"/>
    <w:rsid w:val="613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3"/>
    <w:basedOn w:val="1"/>
    <w:link w:val="17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uiPriority w:val="0"/>
    <w:rPr>
      <w:vertAlign w:val="superscript"/>
    </w:rPr>
  </w:style>
  <w:style w:type="character" w:styleId="6">
    <w:name w:val="Emphasis"/>
    <w:qFormat/>
    <w:uiPriority w:val="0"/>
    <w:rPr>
      <w:i/>
      <w:i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footnote text"/>
    <w:basedOn w:val="1"/>
    <w:link w:val="20"/>
    <w:qFormat/>
    <w:uiPriority w:val="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12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Font Style22"/>
    <w:qFormat/>
    <w:uiPriority w:val="0"/>
    <w:rPr>
      <w:rFonts w:ascii="Times New Roman" w:hAnsi="Times New Roman" w:cs="Times New Roman"/>
      <w:sz w:val="16"/>
      <w:szCs w:val="16"/>
    </w:rPr>
  </w:style>
  <w:style w:type="paragraph" w:customStyle="1" w:styleId="14">
    <w:name w:val="ConsPlusNormal"/>
    <w:qFormat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Текст выноски Знак"/>
    <w:basedOn w:val="3"/>
    <w:link w:val="9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7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18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9">
    <w:name w:val="Сетка таблицы1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Текст сноски Знак"/>
    <w:basedOn w:val="3"/>
    <w:link w:val="10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1797</Words>
  <Characters>10246</Characters>
  <Lines>85</Lines>
  <Paragraphs>24</Paragraphs>
  <TotalTime>2</TotalTime>
  <ScaleCrop>false</ScaleCrop>
  <LinksUpToDate>false</LinksUpToDate>
  <CharactersWithSpaces>12019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2022-09-29T08:03:00Z</dcterms:created>
  <dc:creator>Станислав</dc:creator>
  <cp:lastModifiedBy>Погореловка</cp:lastModifiedBy>
  <cp:lastPrinted>2021-09-27T12:36:00Z</cp:lastPrinted>
  <dcterms:modified xsi:type="dcterms:W3CDTF">2023-09-29T12:02:46Z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F9ED21BE58084CD2B66A5471DBBFA389_12</vt:lpwstr>
  </property>
</Properties>
</file>