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10549" w14:textId="697F99BE"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1E686F"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«Село Калужская опытная сельскохозяйственная станция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A494E9" w14:textId="554DE3CC"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5CF1B537" w14:textId="77777777"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3FC1E183" w14:textId="0147DE23"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</w:t>
      </w:r>
      <w:r w:rsidR="006D5218">
        <w:rPr>
          <w:rFonts w:ascii="Times New Roman" w:hAnsi="Times New Roman" w:cs="Times New Roman"/>
          <w:sz w:val="26"/>
          <w:szCs w:val="26"/>
          <w:lang w:bidi="en-US"/>
        </w:rPr>
        <w:t>ления «Село Калужская опытная сельскохозяйственная станция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545C0632" w14:textId="1D71C310" w:rsidR="00E2551E" w:rsidRPr="007E7C44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14:paraId="723F83A7" w14:textId="248F9AEA" w:rsidR="00E2551E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 w:rsidR="006D5218">
        <w:rPr>
          <w:rFonts w:ascii="Times New Roman" w:hAnsi="Times New Roman" w:cs="Times New Roman"/>
          <w:sz w:val="26"/>
          <w:szCs w:val="26"/>
          <w:lang w:bidi="en-US"/>
        </w:rPr>
        <w:t>у: 249142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 w:rsidR="006D5218">
        <w:rPr>
          <w:rFonts w:ascii="Times New Roman" w:hAnsi="Times New Roman" w:cs="Times New Roman"/>
          <w:sz w:val="26"/>
          <w:szCs w:val="26"/>
          <w:lang w:bidi="en-US"/>
        </w:rPr>
        <w:t>, Перемышльский район, с. Калужская опытная сельскохозяйственная станция, ул. Школьная, д.6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09AA9B67" w14:textId="170DCCDE" w:rsidR="00E2551E" w:rsidRPr="00B25847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6D5218">
        <w:rPr>
          <w:rFonts w:ascii="Times New Roman" w:hAnsi="Times New Roman" w:cs="Times New Roman"/>
          <w:sz w:val="26"/>
          <w:szCs w:val="26"/>
          <w:lang w:bidi="en-US"/>
        </w:rPr>
        <w:t xml:space="preserve"> СП «Село Калужская опытная сельскохозяйственная станция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6D5218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r w:rsidR="006D5218">
        <w:rPr>
          <w:rFonts w:ascii="Times New Roman" w:hAnsi="Times New Roman" w:cs="Times New Roman"/>
          <w:sz w:val="26"/>
          <w:szCs w:val="26"/>
          <w:lang w:val="en-US" w:bidi="en-US"/>
        </w:rPr>
        <w:t>admopstanc</w:t>
      </w:r>
      <w:r w:rsidR="006D5218" w:rsidRPr="006D5218">
        <w:rPr>
          <w:rFonts w:ascii="Times New Roman" w:hAnsi="Times New Roman" w:cs="Times New Roman"/>
          <w:sz w:val="26"/>
          <w:szCs w:val="26"/>
          <w:lang w:bidi="en-US"/>
        </w:rPr>
        <w:t>@</w:t>
      </w:r>
      <w:r w:rsidR="006D5218">
        <w:rPr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="006D5218" w:rsidRPr="006D5218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6D5218">
        <w:rPr>
          <w:rFonts w:ascii="Times New Roman" w:hAnsi="Times New Roman" w:cs="Times New Roman"/>
          <w:sz w:val="26"/>
          <w:szCs w:val="26"/>
          <w:lang w:val="en-US" w:bidi="en-US"/>
        </w:rPr>
        <w:t>ru</w:t>
      </w:r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86A19" w14:textId="77777777"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04DF3A" w14:textId="77777777"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20403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BDA17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A7D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F763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74E75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9D1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8ED6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8B89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DBAB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1CE9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0A5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A8DF2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42F9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19F6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DD29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4DB5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ECB4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9519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CC05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A937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7B38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AD31" w14:textId="77777777" w:rsidR="00E865AD" w:rsidRDefault="00E865AD" w:rsidP="000E5D0A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5A393" w14:textId="010DF16B" w:rsidR="00E865AD" w:rsidRDefault="00A31100" w:rsidP="000E5D0A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242BEC51" w14:textId="77777777" w:rsidR="000E5D0A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</w:p>
    <w:p w14:paraId="638CE140" w14:textId="441595E6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«</w:t>
      </w:r>
      <w:r w:rsidR="000E5D0A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619B7E25" w:rsidR="007F6A01" w:rsidRPr="005E4881" w:rsidRDefault="000E5D0A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с. </w:t>
      </w:r>
      <w:r w:rsidRPr="000E5D0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Калужская опытн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ая сельскохозяйственная станция</w:t>
      </w:r>
    </w:p>
    <w:p w14:paraId="19EB67D8" w14:textId="0D28DB15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1313C3E9" w14:textId="77777777" w:rsidR="00511FDF" w:rsidRDefault="00511FDF" w:rsidP="000E5D0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2A72FFE" w14:textId="086DC7B7" w:rsidR="00511FDF" w:rsidRPr="00511FDF" w:rsidRDefault="00511FDF" w:rsidP="000E5D0A">
      <w:pPr>
        <w:shd w:val="clear" w:color="auto" w:fill="FFFFFF"/>
        <w:autoSpaceDE w:val="0"/>
        <w:spacing w:after="0" w:line="240" w:lineRule="auto"/>
        <w:ind w:left="24" w:right="283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  <w:r w:rsidR="000E5D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причинения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="000E5D0A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>жилищного 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0E5D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сельского поселения </w:t>
      </w:r>
      <w:r w:rsidR="000E5D0A" w:rsidRPr="000E5D0A">
        <w:rPr>
          <w:rFonts w:ascii="Times New Roman" w:hAnsi="Times New Roman" w:cs="Times New Roman"/>
          <w:b/>
          <w:color w:val="000000"/>
          <w:sz w:val="26"/>
          <w:szCs w:val="26"/>
        </w:rPr>
        <w:t>«Село Калужская опытная сельскохозяйственная станция»</w:t>
      </w:r>
      <w:r w:rsidR="000E5D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2551E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E255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2DEDD62B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5250C766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1605D7">
        <w:rPr>
          <w:rFonts w:ascii="Times New Roman" w:hAnsi="Times New Roman" w:cs="Times New Roman"/>
          <w:sz w:val="26"/>
          <w:szCs w:val="26"/>
        </w:rPr>
        <w:t>тории сельского поселения «</w:t>
      </w:r>
      <w:r w:rsidR="001605D7" w:rsidRPr="001605D7">
        <w:rPr>
          <w:rFonts w:ascii="Times New Roman" w:hAnsi="Times New Roman" w:cs="Times New Roman"/>
          <w:sz w:val="26"/>
          <w:szCs w:val="26"/>
        </w:rPr>
        <w:t>Село Калужская опытная сельскохозяйственная станция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1DF6CE97" w14:textId="38A08B5B"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1605D7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1605D7" w:rsidRPr="001605D7">
        <w:rPr>
          <w:rFonts w:ascii="Times New Roman" w:hAnsi="Times New Roman" w:cs="Times New Roman"/>
          <w:sz w:val="26"/>
          <w:szCs w:val="26"/>
        </w:rPr>
        <w:t>Село Калужская опытная сельскохозяйственная станция</w:t>
      </w:r>
      <w:r w:rsidR="001605D7">
        <w:rPr>
          <w:rFonts w:ascii="Times New Roman" w:hAnsi="Times New Roman" w:cs="Times New Roman"/>
          <w:sz w:val="26"/>
          <w:szCs w:val="26"/>
        </w:rPr>
        <w:t>» от 14.11.2023  № 74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>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</w:t>
      </w:r>
      <w:r w:rsidR="001605D7">
        <w:rPr>
          <w:rFonts w:ascii="Times New Roman" w:hAnsi="Times New Roman" w:cs="Times New Roman"/>
          <w:sz w:val="26"/>
          <w:szCs w:val="26"/>
        </w:rPr>
        <w:t>ории сельского поселения «</w:t>
      </w:r>
      <w:r w:rsidR="001605D7" w:rsidRPr="001605D7">
        <w:rPr>
          <w:rFonts w:ascii="Times New Roman" w:hAnsi="Times New Roman" w:cs="Times New Roman"/>
          <w:sz w:val="26"/>
          <w:szCs w:val="26"/>
        </w:rPr>
        <w:t>Село Калужская опытная сельскохозяйственная станция</w:t>
      </w:r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20603041"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1770855"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13BB228B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1605D7">
        <w:rPr>
          <w:rFonts w:ascii="Times New Roman" w:hAnsi="Times New Roman" w:cs="Times New Roman"/>
          <w:b/>
          <w:bCs/>
          <w:sz w:val="26"/>
          <w:szCs w:val="26"/>
        </w:rPr>
        <w:t>В.Н. Иванов</w:t>
      </w:r>
    </w:p>
    <w:p w14:paraId="73FAD2A7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1605D7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1605D7">
        <w:rPr>
          <w:rFonts w:ascii="Times New Roman" w:hAnsi="Times New Roman" w:cs="Times New Roman"/>
        </w:rPr>
        <w:lastRenderedPageBreak/>
        <w:t>Приложение к</w:t>
      </w:r>
      <w:r w:rsidR="0038675E" w:rsidRPr="001605D7">
        <w:rPr>
          <w:rFonts w:ascii="Times New Roman" w:hAnsi="Times New Roman" w:cs="Times New Roman"/>
        </w:rPr>
        <w:t xml:space="preserve"> постановлению</w:t>
      </w:r>
    </w:p>
    <w:p w14:paraId="1064C821" w14:textId="62F201CB" w:rsidR="001605D7" w:rsidRPr="001605D7" w:rsidRDefault="0038675E" w:rsidP="00160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1605D7">
        <w:rPr>
          <w:rFonts w:ascii="Times New Roman" w:hAnsi="Times New Roman" w:cs="Times New Roman"/>
        </w:rPr>
        <w:t>администрации сельского</w:t>
      </w:r>
      <w:r w:rsidR="001605D7">
        <w:rPr>
          <w:rFonts w:ascii="Times New Roman" w:hAnsi="Times New Roman" w:cs="Times New Roman"/>
        </w:rPr>
        <w:t xml:space="preserve"> </w:t>
      </w:r>
      <w:r w:rsidR="001605D7" w:rsidRPr="001605D7">
        <w:rPr>
          <w:rFonts w:ascii="Times New Roman" w:hAnsi="Times New Roman" w:cs="Times New Roman"/>
        </w:rPr>
        <w:t>поселения</w:t>
      </w:r>
    </w:p>
    <w:p w14:paraId="637FF3BC" w14:textId="77777777" w:rsidR="001605D7" w:rsidRPr="001605D7" w:rsidRDefault="0038675E" w:rsidP="00160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1605D7">
        <w:rPr>
          <w:rFonts w:ascii="Times New Roman" w:hAnsi="Times New Roman" w:cs="Times New Roman"/>
        </w:rPr>
        <w:t>«</w:t>
      </w:r>
      <w:r w:rsidR="001605D7" w:rsidRPr="001605D7">
        <w:rPr>
          <w:rFonts w:ascii="Times New Roman" w:hAnsi="Times New Roman" w:cs="Times New Roman"/>
        </w:rPr>
        <w:t>Село Калужская опытная</w:t>
      </w:r>
    </w:p>
    <w:p w14:paraId="0C59B378" w14:textId="3EB65A79" w:rsidR="0038675E" w:rsidRPr="001605D7" w:rsidRDefault="001605D7" w:rsidP="00160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1605D7">
        <w:rPr>
          <w:rFonts w:ascii="Times New Roman" w:hAnsi="Times New Roman" w:cs="Times New Roman"/>
        </w:rPr>
        <w:t>сельскохозяйственная станция</w:t>
      </w:r>
      <w:r w:rsidR="0038675E" w:rsidRPr="001605D7">
        <w:rPr>
          <w:rFonts w:ascii="Times New Roman" w:hAnsi="Times New Roman" w:cs="Times New Roman"/>
        </w:rPr>
        <w:t>»</w:t>
      </w:r>
    </w:p>
    <w:p w14:paraId="6846BA1D" w14:textId="38FE0F70" w:rsidR="0038675E" w:rsidRPr="001605D7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1605D7">
        <w:rPr>
          <w:rFonts w:ascii="Times New Roman" w:hAnsi="Times New Roman" w:cs="Times New Roman"/>
        </w:rPr>
        <w:t xml:space="preserve">от </w:t>
      </w:r>
      <w:r w:rsidR="00511FDF" w:rsidRPr="001605D7">
        <w:rPr>
          <w:rFonts w:ascii="Times New Roman" w:hAnsi="Times New Roman" w:cs="Times New Roman"/>
        </w:rPr>
        <w:t>__________ №___</w:t>
      </w:r>
    </w:p>
    <w:p w14:paraId="7C5EDB39" w14:textId="77777777" w:rsidR="00AF2F6D" w:rsidRPr="001605D7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01C59F52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</w:t>
      </w:r>
      <w:r w:rsidR="001605D7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«</w:t>
      </w:r>
      <w:r w:rsidR="001605D7" w:rsidRPr="001605D7">
        <w:rPr>
          <w:rFonts w:ascii="Times New Roman" w:hAnsi="Times New Roman" w:cs="Times New Roman"/>
          <w:b/>
          <w:bCs/>
          <w:sz w:val="26"/>
          <w:szCs w:val="26"/>
        </w:rPr>
        <w:t>Село Калужская опытная сельскохозяйственная станция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64CB1B0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1605D7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1605D7" w:rsidRPr="001605D7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3A5EE92A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жилищный контроль на территории </w:t>
      </w:r>
      <w:r w:rsidR="001605D7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1605D7" w:rsidRPr="001605D7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» осуществляется Администрацией (исполнительно-распорядительный орган) </w:t>
      </w:r>
      <w:r w:rsidR="001605D7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1605D7" w:rsidRPr="001605D7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3AAB845" w14:textId="0C5E4DB5" w:rsidR="005A47D5" w:rsidRPr="001605D7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05D7">
        <w:rPr>
          <w:rFonts w:ascii="Times New Roman" w:hAnsi="Times New Roman" w:cs="Times New Roman"/>
          <w:bCs/>
          <w:sz w:val="26"/>
          <w:szCs w:val="26"/>
        </w:rPr>
        <w:t>4</w:t>
      </w:r>
      <w:r w:rsidR="00CA0C8B" w:rsidRPr="001605D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605D7">
        <w:rPr>
          <w:rFonts w:ascii="Times New Roman" w:hAnsi="Times New Roman" w:cs="Times New Roman"/>
          <w:bCs/>
          <w:sz w:val="26"/>
          <w:szCs w:val="26"/>
        </w:rPr>
        <w:t>В 202</w:t>
      </w:r>
      <w:r w:rsidR="00BF5E62" w:rsidRPr="001605D7"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1605D7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жилищного контроля по результатам контрольных мероприятий нарушения обязатель</w:t>
      </w:r>
      <w:r w:rsidR="001605D7">
        <w:rPr>
          <w:rFonts w:ascii="Times New Roman" w:hAnsi="Times New Roman" w:cs="Times New Roman"/>
          <w:bCs/>
          <w:sz w:val="26"/>
          <w:szCs w:val="26"/>
        </w:rPr>
        <w:t>ных требований</w:t>
      </w:r>
      <w:r w:rsidR="001605D7" w:rsidRPr="001605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78F3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="001605D7" w:rsidRPr="001605D7">
        <w:rPr>
          <w:rFonts w:ascii="Times New Roman" w:hAnsi="Times New Roman" w:cs="Times New Roman"/>
          <w:bCs/>
          <w:sz w:val="26"/>
          <w:szCs w:val="26"/>
        </w:rPr>
        <w:t>выявлены</w:t>
      </w:r>
      <w:r w:rsidR="004478F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B900034" w14:textId="35F4F481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1669D1E0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4478F3">
        <w:rPr>
          <w:rFonts w:ascii="Times New Roman" w:hAnsi="Times New Roman" w:cs="Times New Roman"/>
          <w:bCs/>
          <w:sz w:val="26"/>
          <w:szCs w:val="26"/>
        </w:rPr>
        <w:t>в 202</w:t>
      </w:r>
      <w:r w:rsidR="00BA753B" w:rsidRPr="004478F3">
        <w:rPr>
          <w:rFonts w:ascii="Times New Roman" w:hAnsi="Times New Roman" w:cs="Times New Roman"/>
          <w:bCs/>
          <w:sz w:val="26"/>
          <w:szCs w:val="26"/>
        </w:rPr>
        <w:t>4</w:t>
      </w:r>
      <w:r w:rsidRPr="004478F3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</w:t>
      </w:r>
      <w:r w:rsidR="004478F3">
        <w:rPr>
          <w:rFonts w:ascii="Times New Roman" w:hAnsi="Times New Roman" w:cs="Times New Roman"/>
          <w:bCs/>
          <w:sz w:val="26"/>
          <w:szCs w:val="26"/>
        </w:rPr>
        <w:t>в сельского поселения «Село Калужская опытная сельскохозяйственная станция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6B3B2C">
        <w:rPr>
          <w:rFonts w:ascii="Times New Roman" w:hAnsi="Times New Roman" w:cs="Times New Roman"/>
          <w:bCs/>
          <w:sz w:val="26"/>
          <w:szCs w:val="26"/>
        </w:rPr>
        <w:t>сельского по</w:t>
      </w:r>
      <w:r w:rsidR="004478F3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4478F3" w:rsidRPr="004478F3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78F79D43" w14:textId="24D4BF89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</w:t>
      </w:r>
      <w:r w:rsidR="004478F3">
        <w:rPr>
          <w:rFonts w:ascii="Times New Roman" w:hAnsi="Times New Roman" w:cs="Times New Roman"/>
          <w:bCs/>
          <w:sz w:val="26"/>
          <w:szCs w:val="26"/>
        </w:rPr>
        <w:t>у работа способствовала недопущению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общественно опасных последствий, возникающих в результате несоблюдения контролируемыми лицами обязательных требований.</w:t>
      </w:r>
    </w:p>
    <w:p w14:paraId="4E59193C" w14:textId="10C4ADC2" w:rsidR="005A47D5" w:rsidRPr="004478F3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78F3">
        <w:rPr>
          <w:rFonts w:ascii="Times New Roman" w:hAnsi="Times New Roman" w:cs="Times New Roman"/>
          <w:bCs/>
          <w:sz w:val="26"/>
          <w:szCs w:val="26"/>
        </w:rPr>
        <w:t>Так, в 202</w:t>
      </w:r>
      <w:r w:rsidR="00765160" w:rsidRPr="004478F3">
        <w:rPr>
          <w:rFonts w:ascii="Times New Roman" w:hAnsi="Times New Roman" w:cs="Times New Roman"/>
          <w:bCs/>
          <w:sz w:val="26"/>
          <w:szCs w:val="26"/>
        </w:rPr>
        <w:t>3</w:t>
      </w:r>
      <w:r w:rsidRPr="00447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78F3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4478F3" w:rsidRPr="004478F3">
        <w:rPr>
          <w:rFonts w:ascii="Times New Roman" w:hAnsi="Times New Roman" w:cs="Times New Roman"/>
          <w:bCs/>
          <w:sz w:val="26"/>
          <w:szCs w:val="26"/>
        </w:rPr>
        <w:t>2024</w:t>
      </w:r>
      <w:r w:rsidR="004478F3">
        <w:rPr>
          <w:rFonts w:ascii="Times New Roman" w:hAnsi="Times New Roman" w:cs="Times New Roman"/>
          <w:bCs/>
          <w:sz w:val="26"/>
          <w:szCs w:val="26"/>
        </w:rPr>
        <w:t xml:space="preserve"> годах</w:t>
      </w:r>
      <w:r w:rsidR="005A47D5" w:rsidRPr="00447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78F3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="005A47D5" w:rsidRPr="004478F3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="004478F3">
        <w:rPr>
          <w:rFonts w:ascii="Times New Roman" w:hAnsi="Times New Roman" w:cs="Times New Roman"/>
          <w:bCs/>
          <w:sz w:val="26"/>
          <w:szCs w:val="26"/>
        </w:rPr>
        <w:t>выявлено нарушений.</w:t>
      </w:r>
    </w:p>
    <w:p w14:paraId="4B2A036A" w14:textId="3DD6CD37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4478F3">
        <w:rPr>
          <w:rFonts w:ascii="Times New Roman" w:hAnsi="Times New Roman" w:cs="Times New Roman"/>
          <w:bCs/>
          <w:sz w:val="26"/>
          <w:szCs w:val="26"/>
        </w:rPr>
        <w:t>Для недопущения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2C25585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 w:rsidR="004478F3">
        <w:rPr>
          <w:rFonts w:ascii="Times New Roman" w:hAnsi="Times New Roman" w:cs="Times New Roman"/>
          <w:bCs/>
          <w:sz w:val="26"/>
          <w:szCs w:val="26"/>
        </w:rPr>
        <w:t xml:space="preserve"> недопущения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6C51133E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4478F3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</w:t>
      </w:r>
      <w:r w:rsidR="004478F3">
        <w:rPr>
          <w:rStyle w:val="ad"/>
          <w:rFonts w:ascii="Times New Roman" w:hAnsi="Times New Roman" w:cs="Times New Roman"/>
          <w:i w:val="0"/>
          <w:sz w:val="26"/>
          <w:szCs w:val="26"/>
        </w:rPr>
        <w:t>ошении контролируемых лиц – 0</w:t>
      </w:r>
      <w:r w:rsidRPr="004478F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2ED859E9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F02634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F02634">
        <w:rPr>
          <w:rStyle w:val="ad"/>
          <w:rFonts w:ascii="Times New Roman" w:hAnsi="Times New Roman" w:cs="Times New Roman"/>
          <w:i w:val="0"/>
          <w:sz w:val="26"/>
          <w:szCs w:val="26"/>
        </w:rPr>
        <w:t>ества контролируемых лиц) - 0</w:t>
      </w:r>
      <w:bookmarkStart w:id="0" w:name="_GoBack"/>
      <w:bookmarkEnd w:id="0"/>
      <w:r w:rsidRPr="00F02634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3A923" w14:textId="77777777" w:rsidR="00B66A7C" w:rsidRDefault="00B66A7C" w:rsidP="005A47D5">
      <w:pPr>
        <w:spacing w:after="0" w:line="240" w:lineRule="auto"/>
      </w:pPr>
      <w:r>
        <w:separator/>
      </w:r>
    </w:p>
  </w:endnote>
  <w:endnote w:type="continuationSeparator" w:id="0">
    <w:p w14:paraId="5FA63069" w14:textId="77777777" w:rsidR="00B66A7C" w:rsidRDefault="00B66A7C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15728" w14:textId="77777777" w:rsidR="00B66A7C" w:rsidRDefault="00B66A7C" w:rsidP="005A47D5">
      <w:pPr>
        <w:spacing w:after="0" w:line="240" w:lineRule="auto"/>
      </w:pPr>
      <w:r>
        <w:separator/>
      </w:r>
    </w:p>
  </w:footnote>
  <w:footnote w:type="continuationSeparator" w:id="0">
    <w:p w14:paraId="654107FE" w14:textId="77777777" w:rsidR="00B66A7C" w:rsidRDefault="00B66A7C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76E39"/>
    <w:rsid w:val="00086D06"/>
    <w:rsid w:val="000E5D0A"/>
    <w:rsid w:val="00112DF4"/>
    <w:rsid w:val="0015257D"/>
    <w:rsid w:val="001605D7"/>
    <w:rsid w:val="0019324F"/>
    <w:rsid w:val="001E686F"/>
    <w:rsid w:val="002247AB"/>
    <w:rsid w:val="00257ECA"/>
    <w:rsid w:val="002B0094"/>
    <w:rsid w:val="002B49DD"/>
    <w:rsid w:val="002C7833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478F3"/>
    <w:rsid w:val="00463A97"/>
    <w:rsid w:val="00466920"/>
    <w:rsid w:val="00471D97"/>
    <w:rsid w:val="00482885"/>
    <w:rsid w:val="004B0145"/>
    <w:rsid w:val="004B684B"/>
    <w:rsid w:val="004C4662"/>
    <w:rsid w:val="004D38E4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6D5218"/>
    <w:rsid w:val="00720177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6B8B"/>
    <w:rsid w:val="00996577"/>
    <w:rsid w:val="009A0A8A"/>
    <w:rsid w:val="009A45A4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6A7C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F2D33"/>
    <w:rsid w:val="00F02634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5C38-C5AD-4AF4-AE92-0F63BE52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5</cp:revision>
  <cp:lastPrinted>2021-09-27T12:36:00Z</cp:lastPrinted>
  <dcterms:created xsi:type="dcterms:W3CDTF">2024-09-25T08:31:00Z</dcterms:created>
  <dcterms:modified xsi:type="dcterms:W3CDTF">2024-09-25T09:10:00Z</dcterms:modified>
</cp:coreProperties>
</file>