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2521BCF0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222AC2EC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E56425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78B30792" w:rsidR="007F6A01" w:rsidRPr="005E4881" w:rsidRDefault="00160DC5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Горки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4FA8C831" w:rsidR="007F6A01" w:rsidRPr="005E4881" w:rsidRDefault="003F33B7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</w:t>
      </w:r>
      <w:r w:rsidR="00F75B85"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</w:t>
      </w:r>
      <w:r w:rsidR="0039100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11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»</w:t>
      </w:r>
      <w:r w:rsidR="003B146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9100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дека</w:t>
      </w:r>
      <w:r w:rsidR="003B146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бря 2024г</w:t>
      </w:r>
      <w:r w:rsidR="00C5613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.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</w:t>
      </w:r>
      <w:r w:rsidR="00C5613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№</w:t>
      </w:r>
      <w:r w:rsidR="00C5613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9100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77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6D6C022B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160DC5">
        <w:rPr>
          <w:rFonts w:ascii="Times New Roman" w:hAnsi="Times New Roman" w:cs="Times New Roman"/>
          <w:b/>
          <w:color w:val="000000"/>
          <w:sz w:val="26"/>
          <w:szCs w:val="26"/>
        </w:rPr>
        <w:t>Деревня Горки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12F5C3BF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160DC5">
        <w:rPr>
          <w:rFonts w:ascii="Times New Roman" w:hAnsi="Times New Roman" w:cs="Times New Roman"/>
          <w:sz w:val="26"/>
          <w:szCs w:val="26"/>
        </w:rPr>
        <w:t>Деревня Горки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24896385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160DC5">
        <w:rPr>
          <w:rFonts w:ascii="Times New Roman" w:hAnsi="Times New Roman" w:cs="Times New Roman"/>
          <w:sz w:val="26"/>
          <w:szCs w:val="26"/>
        </w:rPr>
        <w:t>Деревня Горки</w:t>
      </w:r>
      <w:r w:rsidR="006C4A20">
        <w:rPr>
          <w:rFonts w:ascii="Times New Roman" w:hAnsi="Times New Roman" w:cs="Times New Roman"/>
          <w:sz w:val="26"/>
          <w:szCs w:val="26"/>
        </w:rPr>
        <w:t xml:space="preserve">» от </w:t>
      </w:r>
      <w:r w:rsidR="00160DC5">
        <w:rPr>
          <w:rFonts w:ascii="Times New Roman" w:hAnsi="Times New Roman" w:cs="Times New Roman"/>
          <w:sz w:val="26"/>
          <w:szCs w:val="26"/>
        </w:rPr>
        <w:t>07</w:t>
      </w:r>
      <w:r w:rsidR="005D67E3">
        <w:rPr>
          <w:rFonts w:ascii="Times New Roman" w:hAnsi="Times New Roman" w:cs="Times New Roman"/>
          <w:sz w:val="26"/>
          <w:szCs w:val="26"/>
        </w:rPr>
        <w:t xml:space="preserve"> ноября 2023</w:t>
      </w:r>
      <w:r w:rsidR="006C4A20">
        <w:rPr>
          <w:rFonts w:ascii="Times New Roman" w:hAnsi="Times New Roman" w:cs="Times New Roman"/>
          <w:sz w:val="26"/>
          <w:szCs w:val="26"/>
        </w:rPr>
        <w:t xml:space="preserve"> №</w:t>
      </w:r>
      <w:r w:rsidR="002862A0">
        <w:rPr>
          <w:rFonts w:ascii="Times New Roman" w:hAnsi="Times New Roman" w:cs="Times New Roman"/>
          <w:sz w:val="26"/>
          <w:szCs w:val="26"/>
        </w:rPr>
        <w:t xml:space="preserve"> </w:t>
      </w:r>
      <w:r w:rsidR="005D67E3">
        <w:rPr>
          <w:rFonts w:ascii="Times New Roman" w:hAnsi="Times New Roman" w:cs="Times New Roman"/>
          <w:sz w:val="26"/>
          <w:szCs w:val="26"/>
        </w:rPr>
        <w:t>61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5D67E3">
        <w:rPr>
          <w:rFonts w:ascii="Times New Roman" w:hAnsi="Times New Roman" w:cs="Times New Roman"/>
          <w:sz w:val="26"/>
          <w:szCs w:val="26"/>
        </w:rPr>
        <w:t>Деревня Горки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788C16C9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C56138">
        <w:rPr>
          <w:rFonts w:ascii="Times New Roman" w:hAnsi="Times New Roman" w:cs="Times New Roman"/>
          <w:b/>
          <w:bCs/>
          <w:sz w:val="26"/>
          <w:szCs w:val="26"/>
        </w:rPr>
        <w:t>Г.А. Сухова</w:t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6006D9D8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5D67E3">
        <w:rPr>
          <w:rFonts w:ascii="Times New Roman" w:hAnsi="Times New Roman" w:cs="Times New Roman"/>
          <w:sz w:val="26"/>
          <w:szCs w:val="26"/>
        </w:rPr>
        <w:t>Деревня Горки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19943A0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3F33B7">
        <w:rPr>
          <w:rFonts w:ascii="Times New Roman" w:hAnsi="Times New Roman" w:cs="Times New Roman"/>
          <w:sz w:val="26"/>
          <w:szCs w:val="26"/>
        </w:rPr>
        <w:t>«</w:t>
      </w:r>
      <w:r w:rsidR="00391008">
        <w:rPr>
          <w:rFonts w:ascii="Times New Roman" w:hAnsi="Times New Roman" w:cs="Times New Roman"/>
          <w:sz w:val="26"/>
          <w:szCs w:val="26"/>
        </w:rPr>
        <w:t>11</w:t>
      </w:r>
      <w:r w:rsidR="003F33B7">
        <w:rPr>
          <w:rFonts w:ascii="Times New Roman" w:hAnsi="Times New Roman" w:cs="Times New Roman"/>
          <w:sz w:val="26"/>
          <w:szCs w:val="26"/>
        </w:rPr>
        <w:t>»</w:t>
      </w:r>
      <w:r w:rsidR="003B146D">
        <w:rPr>
          <w:rFonts w:ascii="Times New Roman" w:hAnsi="Times New Roman" w:cs="Times New Roman"/>
          <w:sz w:val="26"/>
          <w:szCs w:val="26"/>
        </w:rPr>
        <w:t xml:space="preserve"> </w:t>
      </w:r>
      <w:r w:rsidR="00391008">
        <w:rPr>
          <w:rFonts w:ascii="Times New Roman" w:hAnsi="Times New Roman" w:cs="Times New Roman"/>
          <w:sz w:val="26"/>
          <w:szCs w:val="26"/>
        </w:rPr>
        <w:t>декабря</w:t>
      </w:r>
      <w:r w:rsidR="003B146D">
        <w:rPr>
          <w:rFonts w:ascii="Times New Roman" w:hAnsi="Times New Roman" w:cs="Times New Roman"/>
          <w:sz w:val="26"/>
          <w:szCs w:val="26"/>
        </w:rPr>
        <w:t xml:space="preserve"> 2024г. </w:t>
      </w:r>
      <w:r w:rsidR="00511FDF">
        <w:rPr>
          <w:rFonts w:ascii="Times New Roman" w:hAnsi="Times New Roman" w:cs="Times New Roman"/>
          <w:sz w:val="26"/>
          <w:szCs w:val="26"/>
        </w:rPr>
        <w:t>№</w:t>
      </w:r>
      <w:r w:rsidR="003F33B7">
        <w:rPr>
          <w:rFonts w:ascii="Times New Roman" w:hAnsi="Times New Roman" w:cs="Times New Roman"/>
          <w:sz w:val="26"/>
          <w:szCs w:val="26"/>
        </w:rPr>
        <w:t xml:space="preserve"> </w:t>
      </w:r>
      <w:r w:rsidR="00391008">
        <w:rPr>
          <w:rFonts w:ascii="Times New Roman" w:hAnsi="Times New Roman" w:cs="Times New Roman"/>
          <w:sz w:val="26"/>
          <w:szCs w:val="26"/>
        </w:rPr>
        <w:t>77</w:t>
      </w:r>
      <w:bookmarkStart w:id="0" w:name="_GoBack"/>
      <w:bookmarkEnd w:id="0"/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02A7061" w14:textId="77777777" w:rsidR="005D67E3" w:rsidRDefault="005D67E3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CB3081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="00CB3081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CB30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3081"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="00CB3081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="00CB3081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Деревня Горки</w:t>
      </w:r>
      <w:r w:rsidR="00CB3081"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EC8CA5" w14:textId="73B48A4C" w:rsidR="00CB3081" w:rsidRDefault="00E30E46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B308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76AD2BE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5D67E3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4566C363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5D67E3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5D67E3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6417ABC1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5D67E3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1F0B4389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5D67E3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A41306" w14:textId="3EF12747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554D4">
        <w:rPr>
          <w:rFonts w:ascii="Times New Roman" w:hAnsi="Times New Roman" w:cs="Times New Roman"/>
          <w:bCs/>
          <w:sz w:val="26"/>
          <w:szCs w:val="26"/>
        </w:rPr>
        <w:t>В 202</w:t>
      </w:r>
      <w:r w:rsidR="00212DA8">
        <w:rPr>
          <w:rFonts w:ascii="Times New Roman" w:hAnsi="Times New Roman" w:cs="Times New Roman"/>
          <w:bCs/>
          <w:sz w:val="26"/>
          <w:szCs w:val="26"/>
        </w:rPr>
        <w:t>4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контроля по результатам контрольных мероприятий нарушени</w:t>
      </w:r>
      <w:r w:rsidR="0058438B">
        <w:rPr>
          <w:rFonts w:ascii="Times New Roman" w:hAnsi="Times New Roman" w:cs="Times New Roman"/>
          <w:bCs/>
          <w:sz w:val="26"/>
          <w:szCs w:val="26"/>
        </w:rPr>
        <w:t>й со стороны контролирующих лиц выявлено не было.</w:t>
      </w:r>
    </w:p>
    <w:p w14:paraId="31FF1092" w14:textId="5C934881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12C5FB53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5D67E3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5D67E3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5D67E3">
        <w:rPr>
          <w:rFonts w:ascii="Times New Roman" w:hAnsi="Times New Roman" w:cs="Times New Roman"/>
          <w:bCs/>
          <w:sz w:val="26"/>
          <w:szCs w:val="26"/>
        </w:rPr>
        <w:t>Деревня Горки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D8FC85F" w14:textId="2FEE606F"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7E3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5D67E3">
        <w:rPr>
          <w:rFonts w:ascii="Times New Roman" w:hAnsi="Times New Roman" w:cs="Times New Roman"/>
          <w:bCs/>
          <w:sz w:val="26"/>
          <w:szCs w:val="26"/>
        </w:rPr>
        <w:t>202</w:t>
      </w:r>
      <w:r w:rsidR="00A23A77" w:rsidRPr="005D67E3">
        <w:rPr>
          <w:rFonts w:ascii="Times New Roman" w:hAnsi="Times New Roman" w:cs="Times New Roman"/>
          <w:bCs/>
          <w:sz w:val="26"/>
          <w:szCs w:val="26"/>
        </w:rPr>
        <w:t>4</w:t>
      </w:r>
      <w:r w:rsidR="002F2EB8" w:rsidRPr="005D67E3">
        <w:rPr>
          <w:rFonts w:ascii="Times New Roman" w:hAnsi="Times New Roman" w:cs="Times New Roman"/>
          <w:bCs/>
          <w:sz w:val="26"/>
          <w:szCs w:val="26"/>
        </w:rPr>
        <w:t xml:space="preserve"> году было выявлено </w:t>
      </w:r>
      <w:r w:rsidR="005D67E3" w:rsidRPr="005D67E3">
        <w:rPr>
          <w:rFonts w:ascii="Times New Roman" w:hAnsi="Times New Roman" w:cs="Times New Roman"/>
          <w:bCs/>
          <w:sz w:val="26"/>
          <w:szCs w:val="26"/>
        </w:rPr>
        <w:t>5</w:t>
      </w:r>
      <w:r w:rsidR="002F2EB8" w:rsidRPr="005D67E3">
        <w:rPr>
          <w:rFonts w:ascii="Times New Roman" w:hAnsi="Times New Roman" w:cs="Times New Roman"/>
          <w:bCs/>
          <w:sz w:val="26"/>
          <w:szCs w:val="26"/>
        </w:rPr>
        <w:t xml:space="preserve"> нарушений, выдано предписаний </w:t>
      </w:r>
      <w:r w:rsidR="005D67E3" w:rsidRPr="005D67E3">
        <w:rPr>
          <w:rFonts w:ascii="Times New Roman" w:hAnsi="Times New Roman" w:cs="Times New Roman"/>
          <w:bCs/>
          <w:sz w:val="26"/>
          <w:szCs w:val="26"/>
        </w:rPr>
        <w:t>80</w:t>
      </w:r>
      <w:r w:rsidR="002F2EB8" w:rsidRPr="005D67E3">
        <w:rPr>
          <w:rFonts w:ascii="Times New Roman" w:hAnsi="Times New Roman" w:cs="Times New Roman"/>
          <w:bCs/>
          <w:sz w:val="26"/>
          <w:szCs w:val="26"/>
        </w:rPr>
        <w:t>.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006BBE1" w14:textId="061861E8"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66F65245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2BF1A01" w14:textId="48555248" w:rsidR="005D67E3" w:rsidRDefault="005D67E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C427DA9" w14:textId="77777777" w:rsidR="005D67E3" w:rsidRDefault="005D67E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06E59FF1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5D67E3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5D67E3" w:rsidRPr="005D67E3">
        <w:rPr>
          <w:rStyle w:val="aa"/>
          <w:rFonts w:ascii="Times New Roman" w:hAnsi="Times New Roman" w:cs="Times New Roman"/>
          <w:i w:val="0"/>
          <w:sz w:val="26"/>
          <w:szCs w:val="26"/>
        </w:rPr>
        <w:t>96</w:t>
      </w:r>
      <w:r w:rsidRPr="005D67E3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4DEF211A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5D67E3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5D67E3" w:rsidRPr="005D67E3">
        <w:rPr>
          <w:rStyle w:val="aa"/>
          <w:rFonts w:ascii="Times New Roman" w:hAnsi="Times New Roman" w:cs="Times New Roman"/>
          <w:i w:val="0"/>
          <w:sz w:val="26"/>
          <w:szCs w:val="26"/>
        </w:rPr>
        <w:t>90</w:t>
      </w:r>
      <w:r w:rsidRPr="005D67E3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5D67E3">
      <w:footnotePr>
        <w:pos w:val="beneathText"/>
      </w:footnotePr>
      <w:pgSz w:w="11905" w:h="16837"/>
      <w:pgMar w:top="709" w:right="990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FAA4" w14:textId="77777777" w:rsidR="000E0307" w:rsidRDefault="000E0307" w:rsidP="009554D4">
      <w:pPr>
        <w:spacing w:after="0" w:line="240" w:lineRule="auto"/>
      </w:pPr>
      <w:r>
        <w:separator/>
      </w:r>
    </w:p>
  </w:endnote>
  <w:endnote w:type="continuationSeparator" w:id="0">
    <w:p w14:paraId="57DC4453" w14:textId="77777777" w:rsidR="000E0307" w:rsidRDefault="000E0307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DB1CD" w14:textId="77777777" w:rsidR="000E0307" w:rsidRDefault="000E0307" w:rsidP="009554D4">
      <w:pPr>
        <w:spacing w:after="0" w:line="240" w:lineRule="auto"/>
      </w:pPr>
      <w:r>
        <w:separator/>
      </w:r>
    </w:p>
  </w:footnote>
  <w:footnote w:type="continuationSeparator" w:id="0">
    <w:p w14:paraId="7605F94A" w14:textId="77777777" w:rsidR="000E0307" w:rsidRDefault="000E0307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B"/>
    <w:rsid w:val="00015347"/>
    <w:rsid w:val="000401CD"/>
    <w:rsid w:val="00086D06"/>
    <w:rsid w:val="000E0307"/>
    <w:rsid w:val="000E753E"/>
    <w:rsid w:val="0010500B"/>
    <w:rsid w:val="00112DF4"/>
    <w:rsid w:val="0015257D"/>
    <w:rsid w:val="00160DC5"/>
    <w:rsid w:val="0019324F"/>
    <w:rsid w:val="001B13D0"/>
    <w:rsid w:val="00212DA8"/>
    <w:rsid w:val="00216063"/>
    <w:rsid w:val="002247AB"/>
    <w:rsid w:val="002862A0"/>
    <w:rsid w:val="002B0094"/>
    <w:rsid w:val="002B49DD"/>
    <w:rsid w:val="002F2EB8"/>
    <w:rsid w:val="00334DFF"/>
    <w:rsid w:val="003459EA"/>
    <w:rsid w:val="00362A60"/>
    <w:rsid w:val="003639E3"/>
    <w:rsid w:val="00371351"/>
    <w:rsid w:val="0038020A"/>
    <w:rsid w:val="0038675E"/>
    <w:rsid w:val="00391008"/>
    <w:rsid w:val="003952BF"/>
    <w:rsid w:val="003B146D"/>
    <w:rsid w:val="003D1C0A"/>
    <w:rsid w:val="003D7634"/>
    <w:rsid w:val="003F33B7"/>
    <w:rsid w:val="004100D1"/>
    <w:rsid w:val="004516B8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8438B"/>
    <w:rsid w:val="00591D0A"/>
    <w:rsid w:val="005D38F0"/>
    <w:rsid w:val="005D67E3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56138"/>
    <w:rsid w:val="00C9017E"/>
    <w:rsid w:val="00C9542B"/>
    <w:rsid w:val="00C97D42"/>
    <w:rsid w:val="00CB3081"/>
    <w:rsid w:val="00CC3ABF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56425"/>
    <w:rsid w:val="00E60F09"/>
    <w:rsid w:val="00E61F28"/>
    <w:rsid w:val="00E703AB"/>
    <w:rsid w:val="00F23E71"/>
    <w:rsid w:val="00F62A99"/>
    <w:rsid w:val="00F719F6"/>
    <w:rsid w:val="00F75B85"/>
    <w:rsid w:val="00FB07CE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Горки</cp:lastModifiedBy>
  <cp:revision>10</cp:revision>
  <cp:lastPrinted>2024-12-11T07:48:00Z</cp:lastPrinted>
  <dcterms:created xsi:type="dcterms:W3CDTF">2024-09-25T11:30:00Z</dcterms:created>
  <dcterms:modified xsi:type="dcterms:W3CDTF">2024-12-11T07:48:00Z</dcterms:modified>
</cp:coreProperties>
</file>